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B25C" w14:textId="7274F9F6" w:rsidR="00A75359" w:rsidRDefault="001D38AD" w:rsidP="0079125E">
      <w:pPr>
        <w:pStyle w:val="Title"/>
        <w:jc w:val="right"/>
        <w:rPr>
          <w:rFonts w:ascii="Verdana" w:hAnsi="Verdana"/>
          <w:color w:val="034694"/>
          <w:w w:val="110"/>
          <w:sz w:val="56"/>
          <w:szCs w:val="56"/>
        </w:rPr>
      </w:pPr>
      <w:r>
        <w:rPr>
          <w:noProof/>
        </w:rPr>
        <w:drawing>
          <wp:inline distT="0" distB="0" distL="0" distR="0" wp14:anchorId="0CA6532C" wp14:editId="637621F9">
            <wp:extent cx="2268747" cy="483999"/>
            <wp:effectExtent l="0" t="0" r="0" b="0"/>
            <wp:docPr id="856602661" name="Picture 1" descr="A logo with orange letters and a circ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77D2B1D-3706-4DC6-9553-0446644582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02661" name="Picture 1" descr="A logo with orange letters and a circ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4582" cy="48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5F877" w14:textId="4D7AA8EF" w:rsidR="001741EE" w:rsidRPr="00A13375" w:rsidRDefault="00A13375" w:rsidP="008B290F">
      <w:pPr>
        <w:pStyle w:val="Heading1"/>
        <w:jc w:val="center"/>
        <w:rPr>
          <w:rFonts w:ascii="Verdana" w:hAnsi="Verdana"/>
          <w:kern w:val="44"/>
        </w:rPr>
      </w:pPr>
      <w:r w:rsidRPr="00A13375">
        <w:rPr>
          <w:rFonts w:ascii="Verdana" w:hAnsi="Verdana"/>
          <w:kern w:val="44"/>
        </w:rPr>
        <w:t>Tenant</w:t>
      </w:r>
      <w:r w:rsidRPr="00A13375">
        <w:rPr>
          <w:rFonts w:ascii="Verdana" w:hAnsi="Verdana"/>
          <w:spacing w:val="12"/>
          <w:kern w:val="44"/>
        </w:rPr>
        <w:t xml:space="preserve"> </w:t>
      </w:r>
      <w:r w:rsidRPr="00A13375">
        <w:rPr>
          <w:rFonts w:ascii="Verdana" w:hAnsi="Verdana"/>
          <w:kern w:val="44"/>
        </w:rPr>
        <w:t>Satisfaction</w:t>
      </w:r>
      <w:r w:rsidRPr="00A13375">
        <w:rPr>
          <w:rFonts w:ascii="Verdana" w:hAnsi="Verdana"/>
          <w:spacing w:val="13"/>
          <w:kern w:val="44"/>
        </w:rPr>
        <w:t xml:space="preserve"> </w:t>
      </w:r>
      <w:r w:rsidRPr="00A13375">
        <w:rPr>
          <w:rFonts w:ascii="Verdana" w:hAnsi="Verdana"/>
          <w:spacing w:val="-2"/>
          <w:kern w:val="44"/>
        </w:rPr>
        <w:t>Measures</w:t>
      </w:r>
    </w:p>
    <w:p w14:paraId="36F1317E" w14:textId="77777777" w:rsidR="008B290F" w:rsidRDefault="008B290F" w:rsidP="00312D51">
      <w:pPr>
        <w:pStyle w:val="Heading2"/>
        <w:rPr>
          <w:rFonts w:ascii="Verdana" w:hAnsi="Verdana"/>
          <w:kern w:val="16"/>
          <w:sz w:val="40"/>
          <w:szCs w:val="40"/>
        </w:rPr>
      </w:pPr>
    </w:p>
    <w:p w14:paraId="6949A4E6" w14:textId="086B676F" w:rsidR="001741EE" w:rsidRPr="008B290F" w:rsidRDefault="00A13375" w:rsidP="00312D51">
      <w:pPr>
        <w:pStyle w:val="Heading2"/>
        <w:rPr>
          <w:rFonts w:ascii="Verdana" w:hAnsi="Verdana"/>
          <w:kern w:val="16"/>
          <w:sz w:val="32"/>
          <w:szCs w:val="32"/>
        </w:rPr>
      </w:pPr>
      <w:r w:rsidRPr="008B290F">
        <w:rPr>
          <w:rFonts w:ascii="Verdana" w:hAnsi="Verdana"/>
          <w:kern w:val="16"/>
          <w:sz w:val="32"/>
          <w:szCs w:val="32"/>
        </w:rPr>
        <w:t>Full</w:t>
      </w:r>
      <w:r w:rsidRPr="008B290F">
        <w:rPr>
          <w:rFonts w:ascii="Verdana" w:hAnsi="Verdana"/>
          <w:spacing w:val="-2"/>
          <w:kern w:val="16"/>
          <w:sz w:val="32"/>
          <w:szCs w:val="32"/>
        </w:rPr>
        <w:t xml:space="preserve"> </w:t>
      </w:r>
      <w:r w:rsidRPr="008B290F">
        <w:rPr>
          <w:rFonts w:ascii="Verdana" w:hAnsi="Verdana"/>
          <w:kern w:val="16"/>
          <w:sz w:val="32"/>
          <w:szCs w:val="32"/>
        </w:rPr>
        <w:t>breakdown</w:t>
      </w:r>
      <w:r w:rsidRPr="008B290F">
        <w:rPr>
          <w:rFonts w:ascii="Verdana" w:hAnsi="Verdana"/>
          <w:spacing w:val="-1"/>
          <w:kern w:val="16"/>
          <w:sz w:val="32"/>
          <w:szCs w:val="32"/>
        </w:rPr>
        <w:t xml:space="preserve"> </w:t>
      </w:r>
      <w:r w:rsidRPr="008B290F">
        <w:rPr>
          <w:rFonts w:ascii="Verdana" w:hAnsi="Verdana"/>
          <w:kern w:val="16"/>
          <w:sz w:val="32"/>
          <w:szCs w:val="32"/>
        </w:rPr>
        <w:t>of</w:t>
      </w:r>
      <w:r w:rsidRPr="008B290F">
        <w:rPr>
          <w:rFonts w:ascii="Verdana" w:hAnsi="Verdana"/>
          <w:spacing w:val="-1"/>
          <w:kern w:val="16"/>
          <w:sz w:val="32"/>
          <w:szCs w:val="32"/>
        </w:rPr>
        <w:t xml:space="preserve"> </w:t>
      </w:r>
      <w:r w:rsidRPr="008B290F">
        <w:rPr>
          <w:rFonts w:ascii="Verdana" w:hAnsi="Verdana"/>
          <w:spacing w:val="-2"/>
          <w:kern w:val="16"/>
          <w:sz w:val="32"/>
          <w:szCs w:val="32"/>
        </w:rPr>
        <w:t>results</w:t>
      </w:r>
      <w:r w:rsidR="00A02C07" w:rsidRPr="008B290F">
        <w:rPr>
          <w:rFonts w:ascii="Verdana" w:hAnsi="Verdana"/>
          <w:spacing w:val="-2"/>
          <w:kern w:val="16"/>
          <w:sz w:val="32"/>
          <w:szCs w:val="32"/>
        </w:rPr>
        <w:t xml:space="preserve"> 2025/2</w:t>
      </w:r>
      <w:r w:rsidR="008A38A5">
        <w:rPr>
          <w:rFonts w:ascii="Verdana" w:hAnsi="Verdana"/>
          <w:spacing w:val="-2"/>
          <w:kern w:val="16"/>
          <w:sz w:val="32"/>
          <w:szCs w:val="32"/>
        </w:rPr>
        <w:t>6</w:t>
      </w:r>
    </w:p>
    <w:p w14:paraId="6F55BC91" w14:textId="77777777" w:rsidR="008B290F" w:rsidRDefault="008B290F" w:rsidP="00A02C07">
      <w:pPr>
        <w:pStyle w:val="TableParagraph"/>
        <w:spacing w:before="91" w:line="244" w:lineRule="auto"/>
        <w:ind w:left="79"/>
        <w:rPr>
          <w:rFonts w:ascii="Verdana" w:hAnsi="Verdana"/>
          <w:w w:val="110"/>
        </w:rPr>
      </w:pPr>
    </w:p>
    <w:p w14:paraId="07E0010C" w14:textId="135426DA" w:rsidR="00A02C07" w:rsidRPr="00A13375" w:rsidRDefault="00A13375" w:rsidP="00A02C07">
      <w:pPr>
        <w:pStyle w:val="TableParagraph"/>
        <w:spacing w:before="91" w:line="244" w:lineRule="auto"/>
        <w:ind w:left="79"/>
        <w:rPr>
          <w:kern w:val="22"/>
          <w:sz w:val="24"/>
          <w:szCs w:val="24"/>
        </w:rPr>
      </w:pPr>
      <w:r w:rsidRPr="00A13375">
        <w:rPr>
          <w:rFonts w:ascii="Verdana" w:hAnsi="Verdana"/>
          <w:kern w:val="22"/>
          <w:sz w:val="24"/>
          <w:szCs w:val="24"/>
        </w:rPr>
        <w:t>The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satisfaction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scores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in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the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table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below</w:t>
      </w:r>
      <w:r w:rsidRPr="00A13375">
        <w:rPr>
          <w:rFonts w:ascii="Verdana" w:hAnsi="Verdana"/>
          <w:spacing w:val="-1"/>
          <w:kern w:val="22"/>
          <w:sz w:val="24"/>
          <w:szCs w:val="24"/>
        </w:rPr>
        <w:t xml:space="preserve"> </w:t>
      </w:r>
      <w:r w:rsidR="00A02C07" w:rsidRPr="00A13375">
        <w:rPr>
          <w:rFonts w:ascii="Verdana" w:hAnsi="Verdana"/>
          <w:spacing w:val="-1"/>
          <w:kern w:val="22"/>
          <w:sz w:val="24"/>
          <w:szCs w:val="24"/>
        </w:rPr>
        <w:t>are for 202</w:t>
      </w:r>
      <w:r w:rsidR="008A38A5">
        <w:rPr>
          <w:rFonts w:ascii="Verdana" w:hAnsi="Verdana"/>
          <w:spacing w:val="-1"/>
          <w:kern w:val="22"/>
          <w:sz w:val="24"/>
          <w:szCs w:val="24"/>
        </w:rPr>
        <w:t>5</w:t>
      </w:r>
      <w:r w:rsidR="003F1927" w:rsidRPr="00A13375">
        <w:rPr>
          <w:rFonts w:ascii="Verdana" w:hAnsi="Verdana"/>
          <w:spacing w:val="-1"/>
          <w:kern w:val="22"/>
          <w:sz w:val="24"/>
          <w:szCs w:val="24"/>
        </w:rPr>
        <w:t>/</w:t>
      </w:r>
      <w:r w:rsidRPr="00A13375">
        <w:rPr>
          <w:rFonts w:ascii="Verdana" w:hAnsi="Verdana"/>
          <w:kern w:val="22"/>
          <w:sz w:val="24"/>
          <w:szCs w:val="24"/>
        </w:rPr>
        <w:t>2</w:t>
      </w:r>
      <w:r w:rsidR="008A38A5">
        <w:rPr>
          <w:rFonts w:ascii="Verdana" w:hAnsi="Verdana"/>
          <w:kern w:val="22"/>
          <w:sz w:val="24"/>
          <w:szCs w:val="24"/>
        </w:rPr>
        <w:t>6</w:t>
      </w:r>
      <w:r w:rsidR="00A02C07" w:rsidRPr="00A13375">
        <w:rPr>
          <w:rFonts w:ascii="Verdana" w:hAnsi="Verdana"/>
          <w:kern w:val="22"/>
          <w:sz w:val="24"/>
          <w:szCs w:val="24"/>
        </w:rPr>
        <w:t xml:space="preserve"> </w:t>
      </w:r>
      <w:r w:rsidR="00C919AF" w:rsidRPr="00A13375">
        <w:rPr>
          <w:rFonts w:ascii="Verdana" w:hAnsi="Verdana"/>
          <w:kern w:val="22"/>
          <w:sz w:val="24"/>
          <w:szCs w:val="24"/>
        </w:rPr>
        <w:t xml:space="preserve">and based on the </w:t>
      </w:r>
      <w:r w:rsidRPr="00A13375">
        <w:rPr>
          <w:rFonts w:ascii="Verdana" w:hAnsi="Verdana"/>
          <w:kern w:val="22"/>
          <w:sz w:val="24"/>
          <w:szCs w:val="24"/>
        </w:rPr>
        <w:t>responses</w:t>
      </w:r>
      <w:r w:rsidRPr="00A13375">
        <w:rPr>
          <w:rFonts w:ascii="Verdana" w:hAnsi="Verdana"/>
          <w:spacing w:val="-19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we</w:t>
      </w:r>
      <w:r w:rsidRPr="00A13375">
        <w:rPr>
          <w:rFonts w:ascii="Verdana" w:hAnsi="Verdana"/>
          <w:spacing w:val="-18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received</w:t>
      </w:r>
      <w:r w:rsidRPr="00A13375">
        <w:rPr>
          <w:rFonts w:ascii="Verdana" w:hAnsi="Verdana"/>
          <w:spacing w:val="-18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from</w:t>
      </w:r>
      <w:r w:rsidRPr="00A13375">
        <w:rPr>
          <w:rFonts w:ascii="Verdana" w:hAnsi="Verdana"/>
          <w:spacing w:val="-19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our</w:t>
      </w:r>
      <w:r w:rsidRPr="00A13375">
        <w:rPr>
          <w:rFonts w:ascii="Verdana" w:hAnsi="Verdana"/>
          <w:spacing w:val="-18"/>
          <w:kern w:val="22"/>
          <w:sz w:val="24"/>
          <w:szCs w:val="24"/>
        </w:rPr>
        <w:t xml:space="preserve"> </w:t>
      </w:r>
      <w:r w:rsidR="00A02C07" w:rsidRPr="00A13375">
        <w:rPr>
          <w:rFonts w:ascii="Verdana" w:hAnsi="Verdana"/>
          <w:kern w:val="22"/>
          <w:sz w:val="24"/>
          <w:szCs w:val="24"/>
        </w:rPr>
        <w:t>low</w:t>
      </w:r>
      <w:r w:rsidR="00A02C07" w:rsidRPr="00A13375">
        <w:rPr>
          <w:rFonts w:ascii="Verdana" w:hAnsi="Verdana"/>
          <w:spacing w:val="-18"/>
          <w:kern w:val="22"/>
          <w:sz w:val="24"/>
          <w:szCs w:val="24"/>
        </w:rPr>
        <w:t>-cost</w:t>
      </w:r>
      <w:r w:rsidRPr="00A13375">
        <w:rPr>
          <w:rFonts w:ascii="Verdana" w:hAnsi="Verdana"/>
          <w:spacing w:val="-19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rental</w:t>
      </w:r>
      <w:r w:rsidRPr="00A13375">
        <w:rPr>
          <w:rFonts w:ascii="Verdana" w:hAnsi="Verdana"/>
          <w:spacing w:val="-18"/>
          <w:kern w:val="22"/>
          <w:sz w:val="24"/>
          <w:szCs w:val="24"/>
        </w:rPr>
        <w:t xml:space="preserve"> </w:t>
      </w:r>
      <w:r w:rsidRPr="00A13375">
        <w:rPr>
          <w:rFonts w:ascii="Verdana" w:hAnsi="Verdana"/>
          <w:kern w:val="22"/>
          <w:sz w:val="24"/>
          <w:szCs w:val="24"/>
        </w:rPr>
        <w:t>accommodation</w:t>
      </w:r>
      <w:r w:rsidR="00A02C07" w:rsidRPr="00A13375">
        <w:rPr>
          <w:rFonts w:ascii="Verdana" w:hAnsi="Verdana"/>
          <w:kern w:val="22"/>
          <w:sz w:val="24"/>
          <w:szCs w:val="24"/>
        </w:rPr>
        <w:t xml:space="preserve"> housing stock</w:t>
      </w:r>
      <w:r w:rsidRPr="00A13375">
        <w:rPr>
          <w:rFonts w:ascii="Verdana" w:hAnsi="Verdana"/>
          <w:kern w:val="22"/>
          <w:sz w:val="24"/>
          <w:szCs w:val="24"/>
        </w:rPr>
        <w:t>.</w:t>
      </w:r>
      <w:r w:rsidR="00A02C07" w:rsidRPr="00A13375">
        <w:rPr>
          <w:rFonts w:ascii="Gill Sans MT"/>
          <w:b/>
          <w:kern w:val="22"/>
          <w:sz w:val="24"/>
          <w:szCs w:val="24"/>
        </w:rPr>
        <w:t xml:space="preserve"> </w:t>
      </w:r>
    </w:p>
    <w:p w14:paraId="6BBB85DD" w14:textId="77777777" w:rsidR="001741EE" w:rsidRDefault="001741EE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8648"/>
        <w:gridCol w:w="850"/>
      </w:tblGrid>
      <w:tr w:rsidR="00A02C07" w14:paraId="388687BE" w14:textId="77777777" w:rsidTr="00F54A88">
        <w:trPr>
          <w:trHeight w:val="224"/>
          <w:jc w:val="center"/>
        </w:trPr>
        <w:tc>
          <w:tcPr>
            <w:tcW w:w="9471" w:type="dxa"/>
            <w:gridSpan w:val="2"/>
            <w:tcBorders>
              <w:top w:val="nil"/>
              <w:left w:val="nil"/>
            </w:tcBorders>
          </w:tcPr>
          <w:p w14:paraId="11687222" w14:textId="77777777" w:rsidR="00A02C07" w:rsidRDefault="00A02C0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E65B24"/>
          </w:tcPr>
          <w:p w14:paraId="6D29D292" w14:textId="77777777" w:rsidR="00A02C07" w:rsidRDefault="00A02C07" w:rsidP="00A02C07">
            <w:pPr>
              <w:pStyle w:val="TableParagraph"/>
              <w:spacing w:before="0" w:line="281" w:lineRule="exact"/>
              <w:ind w:left="79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%</w:t>
            </w:r>
          </w:p>
        </w:tc>
      </w:tr>
      <w:tr w:rsidR="00A02C07" w:rsidRPr="00996FD7" w14:paraId="550A12E6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1C124B35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TP01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DBF92A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>Respondents who report that they are satisfied with the overall service from their landlord.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05F2699F" w14:textId="0EBDB1A2" w:rsidR="00A02C07" w:rsidRPr="00996FD7" w:rsidRDefault="004B3CFB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</w:t>
            </w:r>
            <w:r w:rsidR="00A923A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A02C07" w:rsidRPr="00996FD7" w14:paraId="46AFF37F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E83DC5D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TP02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A9E1AF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Respondents who have received a repair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in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last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12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months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 xml:space="preserve">that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they are satisfied with the overall repairs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service.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4743C0D4" w14:textId="76925B17" w:rsidR="00A02C07" w:rsidRPr="00996FD7" w:rsidRDefault="004B3CFB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80.3</w:t>
            </w:r>
          </w:p>
        </w:tc>
      </w:tr>
      <w:tr w:rsidR="00A02C07" w:rsidRPr="00ED56FD" w14:paraId="7971E58C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671D1E7C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TP03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3276299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Respondents who have received a repair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in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last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12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months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 xml:space="preserve">that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they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are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with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time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taken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to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complete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most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recent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repair.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78FE6278" w14:textId="544B2B20" w:rsidR="00A02C07" w:rsidRPr="00ED56FD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78.4</w:t>
            </w:r>
          </w:p>
        </w:tc>
      </w:tr>
      <w:tr w:rsidR="00A02C07" w:rsidRPr="00996FD7" w14:paraId="2645721F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1801330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TP04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96CDE7F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795"/>
              <w:jc w:val="both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1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1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1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1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they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are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home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is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well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maintained.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70A0819B" w14:textId="6E433CD8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72.</w:t>
            </w:r>
            <w:r w:rsidR="003200E7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A02C07" w:rsidRPr="00996FD7" w14:paraId="5631791B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5137CF53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TP05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1996FD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Respondents who report that they are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home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is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safe.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21C26112" w14:textId="2BEED0CF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80.</w:t>
            </w:r>
            <w:r w:rsidR="003200E7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</w:tr>
      <w:tr w:rsidR="00A02C07" w:rsidRPr="00996FD7" w14:paraId="5F6F97E8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42FFE4B0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TP06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DF512A5" w14:textId="4A9547AA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they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 xml:space="preserve">are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landlord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listens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to</w:t>
            </w:r>
            <w:r w:rsidRPr="00895355">
              <w:rPr>
                <w:rFonts w:ascii="Verdana" w:hAnsi="Verdana"/>
                <w:spacing w:val="-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ten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ant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views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and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acts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upon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them.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6DD9348E" w14:textId="25C11C6F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61.9</w:t>
            </w:r>
          </w:p>
        </w:tc>
      </w:tr>
      <w:tr w:rsidR="00A02C07" w:rsidRPr="00ED56FD" w14:paraId="69A48863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57239165" w14:textId="77777777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TP07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A8DC209" w14:textId="77777777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they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 xml:space="preserve">are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landlord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keeps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them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informed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about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things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matter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 xml:space="preserve">to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them.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7B598DC9" w14:textId="1ABBDAF3" w:rsidR="00A02C07" w:rsidRPr="00ED56FD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70.2</w:t>
            </w:r>
          </w:p>
        </w:tc>
      </w:tr>
      <w:tr w:rsidR="00A02C07" w:rsidRPr="00996FD7" w14:paraId="7D15CEFF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1ED0C64B" w14:textId="71E6CDBD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TP08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53FA38" w14:textId="00877DBE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spacing w:val="-6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Respondents who report that they agree their landlord treats them fairly and with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respect.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12B3216B" w14:textId="7B397D95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  <w:t>78.2</w:t>
            </w:r>
          </w:p>
        </w:tc>
      </w:tr>
      <w:tr w:rsidR="00A02C07" w:rsidRPr="00996FD7" w14:paraId="43835277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161CFAE4" w14:textId="290D8D08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TP09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D1C090" w14:textId="109E7863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spacing w:val="-6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making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 xml:space="preserve">a </w:t>
            </w:r>
            <w:r w:rsidRPr="00895355">
              <w:rPr>
                <w:rFonts w:ascii="Verdana" w:hAnsi="Verdana"/>
                <w:spacing w:val="-10"/>
                <w:kern w:val="20"/>
                <w:sz w:val="20"/>
                <w:szCs w:val="20"/>
              </w:rPr>
              <w:t xml:space="preserve">complaint in the last 12 months who are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with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landlord’s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approach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to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complaints</w:t>
            </w:r>
            <w:r w:rsidRPr="00895355">
              <w:rPr>
                <w:rFonts w:ascii="Verdana" w:hAnsi="Verdana"/>
                <w:spacing w:val="-17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handling.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39D535F2" w14:textId="21052124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  <w:t>31.1</w:t>
            </w:r>
          </w:p>
        </w:tc>
      </w:tr>
      <w:tr w:rsidR="00A02C07" w:rsidRPr="00ED56FD" w14:paraId="2169BADA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B4A58C0" w14:textId="48DF771F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TP10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3B8D06" w14:textId="25C26764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spacing w:val="-6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Respondents with communal areas who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they</w:t>
            </w:r>
            <w:r w:rsidRPr="00895355">
              <w:rPr>
                <w:rFonts w:ascii="Verdana" w:hAnsi="Verdana"/>
                <w:spacing w:val="-1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are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3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their landlord</w:t>
            </w:r>
            <w:r w:rsidRPr="00895355">
              <w:rPr>
                <w:rFonts w:ascii="Verdana" w:hAnsi="Verdana"/>
                <w:spacing w:val="-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keeps</w:t>
            </w:r>
            <w:r w:rsidRPr="00895355">
              <w:rPr>
                <w:rFonts w:ascii="Verdana" w:hAnsi="Verdana"/>
                <w:spacing w:val="-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communal</w:t>
            </w:r>
            <w:r w:rsidRPr="00895355">
              <w:rPr>
                <w:rFonts w:ascii="Verdana" w:hAnsi="Verdana"/>
                <w:spacing w:val="-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>areas</w:t>
            </w:r>
            <w:r w:rsidRPr="00895355">
              <w:rPr>
                <w:rFonts w:ascii="Verdana" w:hAnsi="Verdana"/>
                <w:spacing w:val="-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0"/>
                <w:sz w:val="20"/>
                <w:szCs w:val="20"/>
              </w:rPr>
              <w:t xml:space="preserve">clean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and</w:t>
            </w:r>
            <w:r w:rsidRPr="00895355">
              <w:rPr>
                <w:rFonts w:ascii="Verdana" w:hAnsi="Verdana"/>
                <w:spacing w:val="-1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well</w:t>
            </w:r>
            <w:r w:rsidRPr="00895355">
              <w:rPr>
                <w:rFonts w:ascii="Verdana" w:hAnsi="Verdana"/>
                <w:spacing w:val="-19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maintained.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2D9DFFC4" w14:textId="714A1525" w:rsidR="00A02C07" w:rsidRPr="00ED56FD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  <w:t>75.4</w:t>
            </w:r>
          </w:p>
        </w:tc>
      </w:tr>
      <w:tr w:rsidR="00A02C07" w:rsidRPr="00996FD7" w14:paraId="3428111D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15DA6FF5" w14:textId="4C77DF01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TP11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05CB6A" w14:textId="5F7AEFE6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spacing w:val="-6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2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they are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 xml:space="preserve">landlord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makes a positive contribution to the </w:t>
            </w:r>
            <w:r w:rsidRPr="00895355">
              <w:rPr>
                <w:rFonts w:ascii="Verdana" w:hAnsi="Verdana"/>
                <w:spacing w:val="-2"/>
                <w:kern w:val="20"/>
                <w:sz w:val="20"/>
                <w:szCs w:val="20"/>
              </w:rPr>
              <w:t>neighborhood.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1159914E" w14:textId="20A7426D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  <w:t>66.3</w:t>
            </w:r>
          </w:p>
        </w:tc>
      </w:tr>
      <w:tr w:rsidR="00A02C07" w:rsidRPr="00996FD7" w14:paraId="5BEA58E8" w14:textId="77777777" w:rsidTr="00F54A88">
        <w:trPr>
          <w:trHeight w:val="706"/>
          <w:jc w:val="center"/>
        </w:trPr>
        <w:tc>
          <w:tcPr>
            <w:tcW w:w="823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051245F" w14:textId="042EB1A0" w:rsidR="00A02C07" w:rsidRPr="00996FD7" w:rsidRDefault="00A02C07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spacing w:val="-4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spacing w:val="-4"/>
                <w:sz w:val="20"/>
                <w:szCs w:val="20"/>
              </w:rPr>
              <w:t>TP12</w:t>
            </w:r>
          </w:p>
        </w:tc>
        <w:tc>
          <w:tcPr>
            <w:tcW w:w="86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3ED385C" w14:textId="630C3C18" w:rsidR="00A02C07" w:rsidRPr="00895355" w:rsidRDefault="00A02C07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spacing w:val="-6"/>
                <w:kern w:val="20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Respondents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who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report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they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 xml:space="preserve">are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satisfied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with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their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landlord’s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>approach</w:t>
            </w:r>
            <w:r w:rsidRPr="00895355">
              <w:rPr>
                <w:rFonts w:ascii="Verdana" w:hAnsi="Verdana"/>
                <w:spacing w:val="-8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0"/>
                <w:sz w:val="20"/>
                <w:szCs w:val="20"/>
              </w:rPr>
              <w:t xml:space="preserve">to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handling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anti-social</w:t>
            </w:r>
            <w:r w:rsidRPr="00895355">
              <w:rPr>
                <w:rFonts w:ascii="Verdana" w:hAnsi="Verdana"/>
                <w:spacing w:val="-15"/>
                <w:kern w:val="20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0"/>
                <w:sz w:val="20"/>
                <w:szCs w:val="20"/>
              </w:rPr>
              <w:t>behavior.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6E981855" w14:textId="50719E1B" w:rsidR="00A02C07" w:rsidRPr="00996FD7" w:rsidRDefault="002C2A49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-2"/>
                <w:w w:val="110"/>
                <w:sz w:val="20"/>
                <w:szCs w:val="20"/>
              </w:rPr>
              <w:t>62.2</w:t>
            </w:r>
          </w:p>
        </w:tc>
      </w:tr>
    </w:tbl>
    <w:p w14:paraId="68113E51" w14:textId="77777777" w:rsidR="001741EE" w:rsidRPr="00996FD7" w:rsidRDefault="001741EE">
      <w:pPr>
        <w:pStyle w:val="TableParagraph"/>
        <w:rPr>
          <w:rFonts w:ascii="Verdana" w:hAnsi="Verdana"/>
          <w:b/>
          <w:sz w:val="24"/>
        </w:rPr>
        <w:sectPr w:rsidR="001741EE" w:rsidRPr="00996FD7" w:rsidSect="00A75359">
          <w:type w:val="continuous"/>
          <w:pgSz w:w="11910" w:h="16840"/>
          <w:pgMar w:top="426" w:right="566" w:bottom="1428" w:left="708" w:header="720" w:footer="720" w:gutter="0"/>
          <w:cols w:space="720"/>
        </w:sectPr>
      </w:pPr>
    </w:p>
    <w:p w14:paraId="45FB32D5" w14:textId="2027BAFA" w:rsidR="001741EE" w:rsidRDefault="00A13375" w:rsidP="00312D51">
      <w:pPr>
        <w:pStyle w:val="Heading2"/>
        <w:rPr>
          <w:rFonts w:ascii="Verdana" w:hAnsi="Verdana"/>
          <w:spacing w:val="-2"/>
          <w:kern w:val="40"/>
          <w:sz w:val="32"/>
          <w:szCs w:val="32"/>
        </w:rPr>
      </w:pPr>
      <w:r w:rsidRPr="008B290F">
        <w:rPr>
          <w:rFonts w:ascii="Verdana" w:hAnsi="Verdana"/>
          <w:kern w:val="40"/>
          <w:sz w:val="32"/>
          <w:szCs w:val="32"/>
        </w:rPr>
        <w:lastRenderedPageBreak/>
        <w:t>Management</w:t>
      </w:r>
      <w:r w:rsidRPr="008B290F">
        <w:rPr>
          <w:rFonts w:ascii="Verdana" w:hAnsi="Verdana"/>
          <w:spacing w:val="-17"/>
          <w:kern w:val="40"/>
          <w:sz w:val="32"/>
          <w:szCs w:val="32"/>
        </w:rPr>
        <w:t xml:space="preserve"> </w:t>
      </w:r>
      <w:r w:rsidRPr="008B290F">
        <w:rPr>
          <w:rFonts w:ascii="Verdana" w:hAnsi="Verdana"/>
          <w:spacing w:val="-2"/>
          <w:kern w:val="40"/>
          <w:sz w:val="32"/>
          <w:szCs w:val="32"/>
        </w:rPr>
        <w:t>information</w:t>
      </w:r>
    </w:p>
    <w:p w14:paraId="30C4F791" w14:textId="77777777" w:rsidR="00A13375" w:rsidRPr="00A13375" w:rsidRDefault="00A13375" w:rsidP="00A13375"/>
    <w:p w14:paraId="50D9F00B" w14:textId="4A77C7C2" w:rsidR="001741EE" w:rsidRPr="00996FD7" w:rsidRDefault="00A13375">
      <w:pPr>
        <w:pStyle w:val="BodyText"/>
        <w:spacing w:before="82" w:line="247" w:lineRule="auto"/>
        <w:ind w:left="12"/>
        <w:rPr>
          <w:rFonts w:ascii="Verdana" w:hAnsi="Verdana"/>
        </w:rPr>
      </w:pPr>
      <w:r w:rsidRPr="00996FD7">
        <w:rPr>
          <w:rFonts w:ascii="Verdana" w:hAnsi="Verdana"/>
        </w:rPr>
        <w:t>Alongside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our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customer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views</w:t>
      </w:r>
      <w:r w:rsidR="008B290F">
        <w:rPr>
          <w:rFonts w:ascii="Verdana" w:hAnsi="Verdana"/>
        </w:rPr>
        <w:t>,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a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series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of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management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information</w:t>
      </w:r>
      <w:r w:rsidRPr="00996FD7">
        <w:rPr>
          <w:rFonts w:ascii="Verdana" w:hAnsi="Verdana"/>
          <w:spacing w:val="-14"/>
        </w:rPr>
        <w:t xml:space="preserve"> </w:t>
      </w:r>
      <w:r w:rsidRPr="00996FD7">
        <w:rPr>
          <w:rFonts w:ascii="Verdana" w:hAnsi="Verdana"/>
        </w:rPr>
        <w:t>measures demonstrate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how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we’re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performing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in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different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areas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of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our</w:t>
      </w:r>
      <w:r w:rsidRPr="00996FD7">
        <w:rPr>
          <w:rFonts w:ascii="Verdana" w:hAnsi="Verdana"/>
          <w:spacing w:val="-2"/>
        </w:rPr>
        <w:t xml:space="preserve"> </w:t>
      </w:r>
      <w:r w:rsidRPr="00996FD7">
        <w:rPr>
          <w:rFonts w:ascii="Verdana" w:hAnsi="Verdana"/>
        </w:rPr>
        <w:t>business.</w:t>
      </w:r>
    </w:p>
    <w:p w14:paraId="2EAA7686" w14:textId="77777777" w:rsidR="00996FD7" w:rsidRPr="00996FD7" w:rsidRDefault="00996FD7">
      <w:pPr>
        <w:pStyle w:val="BodyText"/>
        <w:spacing w:before="82" w:line="247" w:lineRule="auto"/>
        <w:ind w:left="12"/>
        <w:rPr>
          <w:rFonts w:ascii="Verdana" w:hAnsi="Verdana"/>
          <w:w w:val="11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8221"/>
        <w:gridCol w:w="839"/>
      </w:tblGrid>
      <w:tr w:rsidR="00A977B8" w:rsidRPr="00996FD7" w14:paraId="38DE4031" w14:textId="77777777" w:rsidTr="00312D51">
        <w:trPr>
          <w:trHeight w:val="567"/>
          <w:jc w:val="center"/>
        </w:trPr>
        <w:tc>
          <w:tcPr>
            <w:tcW w:w="9482" w:type="dxa"/>
            <w:gridSpan w:val="2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331A7042" w14:textId="77777777" w:rsidR="00A977B8" w:rsidRPr="00996FD7" w:rsidRDefault="00A977B8" w:rsidP="00AA0AB5">
            <w:pPr>
              <w:pStyle w:val="TableParagraph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kern w:val="2"/>
                <w:sz w:val="20"/>
                <w:szCs w:val="20"/>
              </w:rPr>
              <w:t>Building</w:t>
            </w:r>
            <w:r w:rsidRPr="00996FD7">
              <w:rPr>
                <w:rFonts w:ascii="Verdana" w:hAnsi="Verdana"/>
                <w:b/>
                <w:spacing w:val="4"/>
                <w:kern w:val="2"/>
                <w:sz w:val="20"/>
                <w:szCs w:val="20"/>
              </w:rPr>
              <w:t xml:space="preserve"> </w:t>
            </w:r>
            <w:r w:rsidRPr="00996FD7">
              <w:rPr>
                <w:rFonts w:ascii="Verdana" w:hAnsi="Verdana"/>
                <w:b/>
                <w:spacing w:val="-2"/>
                <w:kern w:val="2"/>
                <w:sz w:val="20"/>
                <w:szCs w:val="20"/>
              </w:rPr>
              <w:t>safety</w:t>
            </w:r>
          </w:p>
        </w:tc>
        <w:tc>
          <w:tcPr>
            <w:tcW w:w="839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4AA0066" w14:textId="13AED167" w:rsidR="00A977B8" w:rsidRPr="00996FD7" w:rsidRDefault="00A977B8" w:rsidP="00A977B8">
            <w:pPr>
              <w:pStyle w:val="TableParagraph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996FD7">
              <w:rPr>
                <w:rFonts w:ascii="Verdana" w:hAnsi="Verdana"/>
                <w:b/>
                <w:kern w:val="2"/>
                <w:sz w:val="20"/>
                <w:szCs w:val="20"/>
              </w:rPr>
              <w:t>%</w:t>
            </w:r>
          </w:p>
        </w:tc>
      </w:tr>
      <w:tr w:rsidR="00A977B8" w:rsidRPr="00895355" w14:paraId="6C0C12C4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4867084E" w14:textId="2468DEDF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BS01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B6727A" w14:textId="77231970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for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which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 xml:space="preserve">all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required gas safety checks have been carried out.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79527980" w14:textId="564E3941" w:rsidR="00A977B8" w:rsidRPr="00895355" w:rsidRDefault="00AC4AB3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100.0</w:t>
            </w:r>
          </w:p>
        </w:tc>
      </w:tr>
      <w:tr w:rsidR="00A977B8" w:rsidRPr="00895355" w14:paraId="00AF795B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638DF5E" w14:textId="66E82F84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BS02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EDDDDDB" w14:textId="494FCFAC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3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3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3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for</w:t>
            </w:r>
            <w:r w:rsidRPr="00895355">
              <w:rPr>
                <w:rFonts w:ascii="Verdana" w:hAnsi="Verdana"/>
                <w:spacing w:val="-13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which</w:t>
            </w:r>
            <w:r w:rsidRPr="00895355">
              <w:rPr>
                <w:rFonts w:ascii="Verdana" w:hAnsi="Verdana"/>
                <w:spacing w:val="-13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 xml:space="preserve">all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required</w:t>
            </w:r>
            <w:r w:rsidRPr="00895355">
              <w:rPr>
                <w:rFonts w:ascii="Verdana" w:hAnsi="Verdana"/>
                <w:spacing w:val="-1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fire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risk</w:t>
            </w:r>
            <w:r w:rsidRPr="00895355">
              <w:rPr>
                <w:rFonts w:ascii="Verdana" w:hAnsi="Verdana"/>
                <w:spacing w:val="-1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assessments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have been carried out.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50950A0D" w14:textId="0544AFB0" w:rsidR="00A977B8" w:rsidRPr="00895355" w:rsidRDefault="006A06D2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99.1</w:t>
            </w:r>
          </w:p>
        </w:tc>
      </w:tr>
      <w:tr w:rsidR="00A977B8" w:rsidRPr="00895355" w14:paraId="1B3A739D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66CF495C" w14:textId="0D8EFB75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BS03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3E3C32" w14:textId="3D35885C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for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which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all required</w:t>
            </w:r>
            <w:r w:rsidRPr="00895355">
              <w:rPr>
                <w:rFonts w:ascii="Verdana" w:hAnsi="Verdana"/>
                <w:spacing w:val="-14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asbestos</w:t>
            </w:r>
            <w:r w:rsidRPr="00895355">
              <w:rPr>
                <w:rFonts w:ascii="Verdana" w:hAnsi="Verdana"/>
                <w:spacing w:val="-14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 xml:space="preserve">management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surveys or re-inspections have been carried out.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23980D14" w14:textId="63680ECC" w:rsidR="00A977B8" w:rsidRPr="00895355" w:rsidRDefault="006A06D2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100.0</w:t>
            </w:r>
          </w:p>
        </w:tc>
      </w:tr>
      <w:tr w:rsidR="00A977B8" w:rsidRPr="00895355" w14:paraId="3B180C8F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C71FC1E" w14:textId="76F546F6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BS04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E1D993" w14:textId="776E1052" w:rsidR="00A977B8" w:rsidRPr="00895355" w:rsidRDefault="00A977B8" w:rsidP="004F67DC">
            <w:pPr>
              <w:pStyle w:val="TableParagraph"/>
              <w:spacing w:before="0" w:line="244" w:lineRule="auto"/>
              <w:ind w:right="795"/>
              <w:jc w:val="both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for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which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 xml:space="preserve">all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required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legionella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risk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assessments have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been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carried</w:t>
            </w:r>
            <w:r w:rsidRPr="00895355">
              <w:rPr>
                <w:rFonts w:ascii="Verdana" w:hAnsi="Verdana"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out.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1264AB9B" w14:textId="40012099" w:rsidR="00A977B8" w:rsidRPr="00895355" w:rsidRDefault="006A06D2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100.0</w:t>
            </w:r>
          </w:p>
        </w:tc>
      </w:tr>
      <w:tr w:rsidR="00A977B8" w:rsidRPr="00895355" w14:paraId="4BAF38AA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0A8D1C52" w14:textId="50E4B953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BS05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843A1F" w14:textId="0D59F5E3" w:rsidR="00A977B8" w:rsidRPr="00895355" w:rsidRDefault="00A977B8" w:rsidP="004F67DC">
            <w:pPr>
              <w:pStyle w:val="TableParagraph"/>
              <w:spacing w:before="0" w:line="244" w:lineRule="auto"/>
              <w:ind w:right="795"/>
              <w:jc w:val="both"/>
              <w:rPr>
                <w:rFonts w:ascii="Verdana" w:hAnsi="Verdana"/>
                <w:spacing w:val="-4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for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which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 xml:space="preserve">all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required</w:t>
            </w:r>
            <w:r w:rsidRPr="00895355">
              <w:rPr>
                <w:rFonts w:ascii="Verdana" w:hAnsi="Verdana"/>
                <w:spacing w:val="-8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communal</w:t>
            </w:r>
            <w:r w:rsidRPr="00895355">
              <w:rPr>
                <w:rFonts w:ascii="Verdana" w:hAnsi="Verdana"/>
                <w:spacing w:val="-8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passenger</w:t>
            </w:r>
            <w:r w:rsidRPr="00895355">
              <w:rPr>
                <w:rFonts w:ascii="Verdana" w:hAnsi="Verdana"/>
                <w:spacing w:val="-8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 xml:space="preserve">lift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safety checks have been carried out.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05B6AA48" w14:textId="388F8322" w:rsidR="00A977B8" w:rsidRPr="00895355" w:rsidRDefault="006A06D2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100.0</w:t>
            </w:r>
          </w:p>
        </w:tc>
      </w:tr>
    </w:tbl>
    <w:p w14:paraId="0FD58E06" w14:textId="77777777" w:rsidR="00A977B8" w:rsidRPr="00895355" w:rsidRDefault="00A977B8">
      <w:pPr>
        <w:pStyle w:val="BodyText"/>
        <w:spacing w:before="82" w:line="247" w:lineRule="auto"/>
        <w:ind w:left="12"/>
        <w:rPr>
          <w:rFonts w:ascii="Verdana" w:hAnsi="Verdana"/>
          <w:kern w:val="2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8221"/>
        <w:gridCol w:w="839"/>
      </w:tblGrid>
      <w:tr w:rsidR="00A977B8" w:rsidRPr="00895355" w14:paraId="34AB1603" w14:textId="77777777" w:rsidTr="00312D51">
        <w:trPr>
          <w:trHeight w:val="567"/>
          <w:jc w:val="center"/>
        </w:trPr>
        <w:tc>
          <w:tcPr>
            <w:tcW w:w="9482" w:type="dxa"/>
            <w:gridSpan w:val="2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FFE91A6" w14:textId="1E634234" w:rsidR="00A977B8" w:rsidRPr="00895355" w:rsidRDefault="00A977B8" w:rsidP="00AA0AB5">
            <w:pPr>
              <w:pStyle w:val="TableParagraph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spacing w:val="-2"/>
                <w:kern w:val="2"/>
                <w:sz w:val="20"/>
                <w:szCs w:val="20"/>
              </w:rPr>
              <w:t>Anti-social</w:t>
            </w:r>
            <w:r w:rsidRPr="00895355">
              <w:rPr>
                <w:rFonts w:ascii="Verdana" w:hAnsi="Verdana"/>
                <w:b/>
                <w:spacing w:val="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2"/>
                <w:kern w:val="2"/>
                <w:sz w:val="20"/>
                <w:szCs w:val="20"/>
              </w:rPr>
              <w:t>behavior</w:t>
            </w:r>
          </w:p>
        </w:tc>
        <w:tc>
          <w:tcPr>
            <w:tcW w:w="839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64268437" w14:textId="77777777" w:rsidR="00A977B8" w:rsidRPr="00895355" w:rsidRDefault="00A977B8" w:rsidP="00AA0AB5">
            <w:pPr>
              <w:pStyle w:val="TableParagraph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%</w:t>
            </w:r>
          </w:p>
        </w:tc>
      </w:tr>
      <w:tr w:rsidR="00A977B8" w:rsidRPr="00895355" w14:paraId="0A6CDD55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2783760" w14:textId="2D7DC53A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spacing w:val="-4"/>
                <w:kern w:val="2"/>
                <w:sz w:val="20"/>
                <w:szCs w:val="20"/>
              </w:rPr>
              <w:t>NM01 (1)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8F11FE2" w14:textId="5D16E38C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>Number of anti-social behavior cases, opened</w:t>
            </w:r>
            <w:r w:rsidRPr="00895355">
              <w:rPr>
                <w:rFonts w:ascii="Verdana" w:hAnsi="Verdana"/>
                <w:spacing w:val="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per</w:t>
            </w:r>
            <w:r w:rsidRPr="00895355">
              <w:rPr>
                <w:rFonts w:ascii="Verdana" w:hAnsi="Verdana"/>
                <w:spacing w:val="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1,000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homes.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55612247" w14:textId="7CC798AC" w:rsidR="00A977B8" w:rsidRPr="00895355" w:rsidRDefault="00D92DED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2</w:t>
            </w:r>
            <w:r w:rsidR="00964464">
              <w:rPr>
                <w:rFonts w:ascii="Verdana" w:hAnsi="Verdana"/>
                <w:b/>
                <w:kern w:val="2"/>
                <w:sz w:val="20"/>
                <w:szCs w:val="20"/>
              </w:rPr>
              <w:t>7.</w:t>
            </w: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2</w:t>
            </w:r>
          </w:p>
        </w:tc>
      </w:tr>
      <w:tr w:rsidR="00A977B8" w:rsidRPr="00895355" w14:paraId="5AF277FF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0D73A9B3" w14:textId="1E810F7B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spacing w:val="-4"/>
                <w:kern w:val="2"/>
                <w:sz w:val="20"/>
                <w:szCs w:val="20"/>
              </w:rPr>
              <w:t>NM01 (2)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41E4C3" w14:textId="5567A479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Number of anti-social behavior cases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that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involve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hate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incidents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 xml:space="preserve">opened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per</w:t>
            </w:r>
            <w:r w:rsidRPr="00895355">
              <w:rPr>
                <w:rFonts w:ascii="Verdana" w:hAnsi="Verdana"/>
                <w:spacing w:val="-18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1,000</w:t>
            </w:r>
            <w:r w:rsidRPr="00895355">
              <w:rPr>
                <w:rFonts w:ascii="Verdana" w:hAnsi="Verdana"/>
                <w:spacing w:val="-18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homes.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5FF1D12C" w14:textId="1008DD43" w:rsidR="00A977B8" w:rsidRPr="00895355" w:rsidRDefault="00964464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0.</w:t>
            </w:r>
            <w:r w:rsidR="000402F2">
              <w:rPr>
                <w:rFonts w:ascii="Verdana" w:hAnsi="Verdana"/>
                <w:b/>
                <w:kern w:val="2"/>
                <w:sz w:val="20"/>
                <w:szCs w:val="20"/>
              </w:rPr>
              <w:t>4</w:t>
            </w:r>
          </w:p>
        </w:tc>
      </w:tr>
    </w:tbl>
    <w:p w14:paraId="549C24D7" w14:textId="77777777" w:rsidR="00A977B8" w:rsidRPr="00895355" w:rsidRDefault="00A977B8">
      <w:pPr>
        <w:pStyle w:val="BodyText"/>
        <w:spacing w:before="82" w:line="247" w:lineRule="auto"/>
        <w:ind w:left="12"/>
        <w:rPr>
          <w:rFonts w:ascii="Verdana" w:hAnsi="Verdana"/>
          <w:kern w:val="2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8221"/>
        <w:gridCol w:w="839"/>
      </w:tblGrid>
      <w:tr w:rsidR="00A977B8" w:rsidRPr="00895355" w14:paraId="7AF6263E" w14:textId="77777777" w:rsidTr="00312D51">
        <w:trPr>
          <w:trHeight w:val="567"/>
          <w:jc w:val="center"/>
        </w:trPr>
        <w:tc>
          <w:tcPr>
            <w:tcW w:w="9482" w:type="dxa"/>
            <w:gridSpan w:val="2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191523BD" w14:textId="667D92D2" w:rsidR="00A977B8" w:rsidRPr="00895355" w:rsidRDefault="00A977B8" w:rsidP="00AA0AB5">
            <w:pPr>
              <w:pStyle w:val="TableParagraph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DHS</w:t>
            </w:r>
            <w:r w:rsidRPr="00895355">
              <w:rPr>
                <w:rFonts w:ascii="Verdana" w:hAnsi="Verdana"/>
                <w:b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and</w:t>
            </w:r>
            <w:r w:rsidRPr="00895355">
              <w:rPr>
                <w:rFonts w:ascii="Verdana" w:hAnsi="Verdana"/>
                <w:b/>
                <w:spacing w:val="-1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2"/>
                <w:kern w:val="2"/>
                <w:sz w:val="20"/>
                <w:szCs w:val="20"/>
              </w:rPr>
              <w:t>repairs</w:t>
            </w:r>
          </w:p>
        </w:tc>
        <w:tc>
          <w:tcPr>
            <w:tcW w:w="839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5B08C839" w14:textId="77777777" w:rsidR="00A977B8" w:rsidRPr="00895355" w:rsidRDefault="00A977B8" w:rsidP="00AA0AB5">
            <w:pPr>
              <w:pStyle w:val="TableParagraph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%</w:t>
            </w:r>
          </w:p>
        </w:tc>
      </w:tr>
      <w:tr w:rsidR="00A977B8" w:rsidRPr="00895355" w14:paraId="4987DA73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50261C2C" w14:textId="0AD34EF0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spacing w:val="-4"/>
                <w:kern w:val="2"/>
                <w:sz w:val="20"/>
                <w:szCs w:val="20"/>
              </w:rPr>
              <w:t>RP01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13A35E" w14:textId="0D145C06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>Proportion of homes that do not meet the</w:t>
            </w:r>
            <w:r w:rsidRPr="00895355">
              <w:rPr>
                <w:rFonts w:ascii="Verdana" w:hAnsi="Verdana"/>
                <w:spacing w:val="-19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Decent</w:t>
            </w:r>
            <w:r w:rsidRPr="00895355">
              <w:rPr>
                <w:rFonts w:ascii="Verdana" w:hAnsi="Verdana"/>
                <w:spacing w:val="-19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Homes</w:t>
            </w:r>
            <w:r w:rsidRPr="00895355">
              <w:rPr>
                <w:rFonts w:ascii="Verdana" w:hAnsi="Verdana"/>
                <w:spacing w:val="-19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Standard.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496F2FC1" w14:textId="1BE3C42A" w:rsidR="00A977B8" w:rsidRPr="00895355" w:rsidRDefault="00172F90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0.0</w:t>
            </w:r>
          </w:p>
        </w:tc>
      </w:tr>
      <w:tr w:rsidR="00A977B8" w:rsidRPr="00895355" w14:paraId="4D9A4D27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BD457B9" w14:textId="233899DA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RP02</w:t>
            </w:r>
            <w:r w:rsidRPr="00895355">
              <w:rPr>
                <w:rFonts w:ascii="Verdana" w:hAnsi="Verdana"/>
                <w:b/>
                <w:spacing w:val="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(1)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C364E45" w14:textId="0BE32A8E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Proportion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of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 xml:space="preserve">emergency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responsive repairs completed within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landlord’s</w:t>
            </w:r>
            <w:r w:rsidRPr="00895355">
              <w:rPr>
                <w:rFonts w:ascii="Verdana" w:hAnsi="Verdana"/>
                <w:spacing w:val="-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target</w:t>
            </w:r>
            <w:r w:rsidRPr="00895355">
              <w:rPr>
                <w:rFonts w:ascii="Verdana" w:hAnsi="Verdana"/>
                <w:spacing w:val="-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6"/>
                <w:kern w:val="2"/>
                <w:sz w:val="20"/>
                <w:szCs w:val="20"/>
              </w:rPr>
              <w:t>timescale.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6A655C7E" w14:textId="59F41691" w:rsidR="00A977B8" w:rsidRPr="00895355" w:rsidRDefault="00172F90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98.</w:t>
            </w:r>
            <w:r w:rsidR="000402F2">
              <w:rPr>
                <w:rFonts w:ascii="Verdana" w:hAnsi="Verdana"/>
                <w:b/>
                <w:kern w:val="2"/>
                <w:sz w:val="20"/>
                <w:szCs w:val="20"/>
              </w:rPr>
              <w:t>5</w:t>
            </w:r>
          </w:p>
        </w:tc>
      </w:tr>
      <w:tr w:rsidR="00A977B8" w:rsidRPr="00895355" w14:paraId="04D3D0DE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7B59E198" w14:textId="4A5132F5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RP02</w:t>
            </w:r>
            <w:r w:rsidRPr="00895355">
              <w:rPr>
                <w:rFonts w:ascii="Verdana" w:hAnsi="Verdana"/>
                <w:b/>
                <w:spacing w:val="1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(2)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230706A" w14:textId="78D1D3A7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Proportion of </w:t>
            </w:r>
            <w:r w:rsidR="007531F1" w:rsidRPr="00895355">
              <w:rPr>
                <w:rFonts w:ascii="Verdana" w:hAnsi="Verdana"/>
                <w:kern w:val="2"/>
                <w:sz w:val="20"/>
                <w:szCs w:val="20"/>
              </w:rPr>
              <w:t>non</w:t>
            </w:r>
            <w:r w:rsidR="00544DF2" w:rsidRPr="00895355">
              <w:rPr>
                <w:rFonts w:ascii="Verdana" w:hAnsi="Verdana"/>
                <w:kern w:val="2"/>
                <w:sz w:val="20"/>
                <w:szCs w:val="20"/>
              </w:rPr>
              <w:t>-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emergency responsive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repairs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completed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within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 xml:space="preserve">the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landlord’s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target</w:t>
            </w:r>
            <w:r w:rsidRPr="00895355">
              <w:rPr>
                <w:rFonts w:ascii="Verdana" w:hAnsi="Verdana"/>
                <w:spacing w:val="-15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4"/>
                <w:kern w:val="2"/>
                <w:sz w:val="20"/>
                <w:szCs w:val="20"/>
              </w:rPr>
              <w:t>timescale.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5755776F" w14:textId="5AA2200F" w:rsidR="00A977B8" w:rsidRPr="00895355" w:rsidRDefault="00172F90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98.</w:t>
            </w:r>
            <w:r w:rsidR="000402F2">
              <w:rPr>
                <w:rFonts w:ascii="Verdana" w:hAnsi="Verdana"/>
                <w:b/>
                <w:kern w:val="2"/>
                <w:sz w:val="20"/>
                <w:szCs w:val="20"/>
              </w:rPr>
              <w:t>7</w:t>
            </w:r>
          </w:p>
        </w:tc>
      </w:tr>
    </w:tbl>
    <w:p w14:paraId="53DAA798" w14:textId="77777777" w:rsidR="001741EE" w:rsidRPr="00895355" w:rsidRDefault="001741EE">
      <w:pPr>
        <w:pStyle w:val="BodyText"/>
        <w:spacing w:before="96"/>
        <w:rPr>
          <w:rFonts w:ascii="Verdana" w:hAnsi="Verdana"/>
          <w:kern w:val="2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8221"/>
        <w:gridCol w:w="839"/>
      </w:tblGrid>
      <w:tr w:rsidR="00A977B8" w:rsidRPr="00895355" w14:paraId="2B0762BF" w14:textId="77777777" w:rsidTr="00312D51">
        <w:trPr>
          <w:trHeight w:val="567"/>
          <w:jc w:val="center"/>
        </w:trPr>
        <w:tc>
          <w:tcPr>
            <w:tcW w:w="9482" w:type="dxa"/>
            <w:gridSpan w:val="2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939A150" w14:textId="6C507517" w:rsidR="00A977B8" w:rsidRPr="00895355" w:rsidRDefault="00A977B8" w:rsidP="00AA0AB5">
            <w:pPr>
              <w:pStyle w:val="TableParagraph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spacing w:val="-2"/>
                <w:kern w:val="2"/>
                <w:sz w:val="20"/>
                <w:szCs w:val="20"/>
              </w:rPr>
              <w:t>Complaints</w:t>
            </w:r>
          </w:p>
        </w:tc>
        <w:tc>
          <w:tcPr>
            <w:tcW w:w="839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22EE4CDC" w14:textId="77777777" w:rsidR="00A977B8" w:rsidRPr="00895355" w:rsidRDefault="00A977B8" w:rsidP="00AA0AB5">
            <w:pPr>
              <w:pStyle w:val="TableParagraph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%</w:t>
            </w:r>
          </w:p>
        </w:tc>
      </w:tr>
      <w:tr w:rsidR="00A977B8" w:rsidRPr="00895355" w14:paraId="5212B4BB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55641686" w14:textId="37EE0595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CH01</w:t>
            </w:r>
            <w:r w:rsidRPr="00895355">
              <w:rPr>
                <w:rFonts w:ascii="Verdana" w:hAnsi="Verdana"/>
                <w:b/>
                <w:spacing w:val="4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(1)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C0E40C" w14:textId="47726AC0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Number of stage one complaints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received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per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1,000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homes.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31F9AA9A" w14:textId="6FE4E8DE" w:rsidR="00A977B8" w:rsidRPr="00895355" w:rsidRDefault="00172F90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30.8</w:t>
            </w:r>
          </w:p>
        </w:tc>
      </w:tr>
      <w:tr w:rsidR="00A977B8" w:rsidRPr="00895355" w14:paraId="11673727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32AC3B28" w14:textId="626B3385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CH01</w:t>
            </w:r>
            <w:r w:rsidRPr="00895355">
              <w:rPr>
                <w:rFonts w:ascii="Verdana" w:hAnsi="Verdana"/>
                <w:b/>
                <w:spacing w:val="4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(2)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466437A" w14:textId="520E62B7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Number of stage two complaints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received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per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1,000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homes.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32375FE9" w14:textId="19DC4E8A" w:rsidR="00A977B8" w:rsidRPr="00895355" w:rsidRDefault="00A45F6A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5.5</w:t>
            </w:r>
          </w:p>
        </w:tc>
      </w:tr>
      <w:tr w:rsidR="00A977B8" w:rsidRPr="00895355" w14:paraId="0BF1287F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3FBB8DE9" w14:textId="1FC0B6A1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CH02</w:t>
            </w:r>
            <w:r w:rsidRPr="00895355">
              <w:rPr>
                <w:rFonts w:ascii="Verdana" w:hAnsi="Verdana"/>
                <w:b/>
                <w:spacing w:val="4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(1)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400D12" w14:textId="58F76A30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Proportion of stage one complaints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responded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to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within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 xml:space="preserve">Housing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Ombudsman’s Complaint Handling Code timescales.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494234D2" w14:textId="6AC75FF0" w:rsidR="00A977B8" w:rsidRPr="00895355" w:rsidRDefault="00A45F6A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75.</w:t>
            </w:r>
            <w:r w:rsidR="000402F2">
              <w:rPr>
                <w:rFonts w:ascii="Verdana" w:hAnsi="Verdana"/>
                <w:b/>
                <w:kern w:val="2"/>
                <w:sz w:val="20"/>
                <w:szCs w:val="20"/>
              </w:rPr>
              <w:t>7</w:t>
            </w:r>
          </w:p>
        </w:tc>
      </w:tr>
      <w:tr w:rsidR="00A977B8" w:rsidRPr="00895355" w14:paraId="7C03C74F" w14:textId="77777777" w:rsidTr="00312D51">
        <w:trPr>
          <w:trHeight w:val="567"/>
          <w:jc w:val="center"/>
        </w:trPr>
        <w:tc>
          <w:tcPr>
            <w:tcW w:w="1261" w:type="dxa"/>
            <w:tcBorders>
              <w:right w:val="single" w:sz="8" w:space="0" w:color="000000"/>
            </w:tcBorders>
            <w:shd w:val="clear" w:color="auto" w:fill="E65B24"/>
            <w:vAlign w:val="center"/>
          </w:tcPr>
          <w:p w14:paraId="011BCAA5" w14:textId="3BE35A89" w:rsidR="00A977B8" w:rsidRPr="00895355" w:rsidRDefault="00A977B8" w:rsidP="004F67DC">
            <w:pPr>
              <w:pStyle w:val="TableParagraph"/>
              <w:spacing w:before="0"/>
              <w:ind w:left="0" w:right="65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b/>
                <w:kern w:val="2"/>
                <w:sz w:val="20"/>
                <w:szCs w:val="20"/>
              </w:rPr>
              <w:t>CH02</w:t>
            </w:r>
            <w:r w:rsidRPr="00895355">
              <w:rPr>
                <w:rFonts w:ascii="Verdana" w:hAnsi="Verdana"/>
                <w:b/>
                <w:spacing w:val="42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b/>
                <w:spacing w:val="-5"/>
                <w:kern w:val="2"/>
                <w:sz w:val="20"/>
                <w:szCs w:val="20"/>
              </w:rPr>
              <w:t>(2)</w:t>
            </w:r>
          </w:p>
        </w:tc>
        <w:tc>
          <w:tcPr>
            <w:tcW w:w="822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39D5A3" w14:textId="3D74E69E" w:rsidR="00A977B8" w:rsidRPr="00895355" w:rsidRDefault="00A977B8" w:rsidP="004F67DC">
            <w:pPr>
              <w:pStyle w:val="TableParagraph"/>
              <w:spacing w:before="0" w:line="244" w:lineRule="auto"/>
              <w:ind w:right="101"/>
              <w:rPr>
                <w:rFonts w:ascii="Verdana" w:hAnsi="Verdana"/>
                <w:kern w:val="2"/>
                <w:sz w:val="20"/>
                <w:szCs w:val="20"/>
              </w:rPr>
            </w:pPr>
            <w:r w:rsidRPr="00895355">
              <w:rPr>
                <w:rFonts w:ascii="Verdana" w:hAnsi="Verdana"/>
                <w:kern w:val="2"/>
                <w:sz w:val="20"/>
                <w:szCs w:val="20"/>
              </w:rPr>
              <w:t xml:space="preserve">Proportion of stage two complaints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responded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to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within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>the</w:t>
            </w:r>
            <w:r w:rsidRPr="00895355">
              <w:rPr>
                <w:rFonts w:ascii="Verdana" w:hAnsi="Verdana"/>
                <w:spacing w:val="-17"/>
                <w:kern w:val="2"/>
                <w:sz w:val="20"/>
                <w:szCs w:val="20"/>
              </w:rPr>
              <w:t xml:space="preserve"> </w:t>
            </w:r>
            <w:r w:rsidRPr="00895355">
              <w:rPr>
                <w:rFonts w:ascii="Verdana" w:hAnsi="Verdana"/>
                <w:spacing w:val="-2"/>
                <w:kern w:val="2"/>
                <w:sz w:val="20"/>
                <w:szCs w:val="20"/>
              </w:rPr>
              <w:t xml:space="preserve">Housing </w:t>
            </w:r>
            <w:r w:rsidRPr="00895355">
              <w:rPr>
                <w:rFonts w:ascii="Verdana" w:hAnsi="Verdana"/>
                <w:kern w:val="2"/>
                <w:sz w:val="20"/>
                <w:szCs w:val="20"/>
              </w:rPr>
              <w:t>Ombudsman’s Complaint Handling Code timescales.</w:t>
            </w:r>
          </w:p>
        </w:tc>
        <w:tc>
          <w:tcPr>
            <w:tcW w:w="8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4C09F"/>
            <w:vAlign w:val="center"/>
          </w:tcPr>
          <w:p w14:paraId="1FC5A2D0" w14:textId="5A84E4CE" w:rsidR="00A977B8" w:rsidRPr="00895355" w:rsidRDefault="00A45F6A" w:rsidP="00E22855">
            <w:pPr>
              <w:pStyle w:val="TableParagraph"/>
              <w:spacing w:before="0"/>
              <w:jc w:val="center"/>
              <w:rPr>
                <w:rFonts w:ascii="Verdana" w:hAnsi="Verdana"/>
                <w:b/>
                <w:kern w:val="2"/>
                <w:sz w:val="20"/>
                <w:szCs w:val="20"/>
              </w:rPr>
            </w:pPr>
            <w:r>
              <w:rPr>
                <w:rFonts w:ascii="Verdana" w:hAnsi="Verdana"/>
                <w:b/>
                <w:kern w:val="2"/>
                <w:sz w:val="20"/>
                <w:szCs w:val="20"/>
              </w:rPr>
              <w:t>6</w:t>
            </w:r>
            <w:r w:rsidR="000402F2">
              <w:rPr>
                <w:rFonts w:ascii="Verdana" w:hAnsi="Verdana"/>
                <w:b/>
                <w:kern w:val="2"/>
                <w:sz w:val="20"/>
                <w:szCs w:val="20"/>
              </w:rPr>
              <w:t>3.3</w:t>
            </w:r>
          </w:p>
        </w:tc>
      </w:tr>
    </w:tbl>
    <w:p w14:paraId="01DC5BDD" w14:textId="34850ED2" w:rsidR="001741EE" w:rsidRPr="00996FD7" w:rsidRDefault="001741EE" w:rsidP="00F54A88">
      <w:pPr>
        <w:pStyle w:val="BodyText"/>
        <w:spacing w:before="2"/>
        <w:rPr>
          <w:rFonts w:ascii="Verdana" w:hAnsi="Verdana"/>
          <w:kern w:val="2"/>
          <w:sz w:val="2"/>
        </w:rPr>
      </w:pPr>
    </w:p>
    <w:sectPr w:rsidR="001741EE" w:rsidRPr="00996FD7">
      <w:pgSz w:w="11910" w:h="16840"/>
      <w:pgMar w:top="138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E"/>
    <w:rsid w:val="000402F2"/>
    <w:rsid w:val="00070469"/>
    <w:rsid w:val="0011618E"/>
    <w:rsid w:val="00172F90"/>
    <w:rsid w:val="001741EE"/>
    <w:rsid w:val="001D38AD"/>
    <w:rsid w:val="002B3E47"/>
    <w:rsid w:val="002C2A49"/>
    <w:rsid w:val="002F68B4"/>
    <w:rsid w:val="00312D51"/>
    <w:rsid w:val="003200E7"/>
    <w:rsid w:val="00333EE8"/>
    <w:rsid w:val="00347CF6"/>
    <w:rsid w:val="00367A7D"/>
    <w:rsid w:val="003A1E77"/>
    <w:rsid w:val="003B52C1"/>
    <w:rsid w:val="003C59BE"/>
    <w:rsid w:val="003F1927"/>
    <w:rsid w:val="003F1965"/>
    <w:rsid w:val="004719EC"/>
    <w:rsid w:val="004B3CFB"/>
    <w:rsid w:val="004F67DC"/>
    <w:rsid w:val="0051112E"/>
    <w:rsid w:val="00544DF2"/>
    <w:rsid w:val="005532E1"/>
    <w:rsid w:val="005F0746"/>
    <w:rsid w:val="00603E57"/>
    <w:rsid w:val="006A06D2"/>
    <w:rsid w:val="006B269F"/>
    <w:rsid w:val="007142D9"/>
    <w:rsid w:val="007178C2"/>
    <w:rsid w:val="007531F1"/>
    <w:rsid w:val="0079125E"/>
    <w:rsid w:val="007C1015"/>
    <w:rsid w:val="00844637"/>
    <w:rsid w:val="00895355"/>
    <w:rsid w:val="008A38A5"/>
    <w:rsid w:val="008B290F"/>
    <w:rsid w:val="00902826"/>
    <w:rsid w:val="00927E83"/>
    <w:rsid w:val="00964464"/>
    <w:rsid w:val="00965FC9"/>
    <w:rsid w:val="00996FD7"/>
    <w:rsid w:val="00A02C07"/>
    <w:rsid w:val="00A064F2"/>
    <w:rsid w:val="00A13375"/>
    <w:rsid w:val="00A139E6"/>
    <w:rsid w:val="00A45F6A"/>
    <w:rsid w:val="00A75359"/>
    <w:rsid w:val="00A923AF"/>
    <w:rsid w:val="00A977B8"/>
    <w:rsid w:val="00AA0AB5"/>
    <w:rsid w:val="00AA7449"/>
    <w:rsid w:val="00AC4AB3"/>
    <w:rsid w:val="00B04CB6"/>
    <w:rsid w:val="00B20A53"/>
    <w:rsid w:val="00B354E9"/>
    <w:rsid w:val="00B64D8C"/>
    <w:rsid w:val="00B76348"/>
    <w:rsid w:val="00BA40C9"/>
    <w:rsid w:val="00C919AF"/>
    <w:rsid w:val="00D35E19"/>
    <w:rsid w:val="00D7246C"/>
    <w:rsid w:val="00D772B8"/>
    <w:rsid w:val="00D92DED"/>
    <w:rsid w:val="00DF7467"/>
    <w:rsid w:val="00E22855"/>
    <w:rsid w:val="00E96433"/>
    <w:rsid w:val="00EC5E06"/>
    <w:rsid w:val="00ED56FD"/>
    <w:rsid w:val="00F16EA7"/>
    <w:rsid w:val="00F24DBB"/>
    <w:rsid w:val="00F46A71"/>
    <w:rsid w:val="00F54A88"/>
    <w:rsid w:val="00FB43E6"/>
    <w:rsid w:val="00FD5465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EBFD"/>
  <w15:docId w15:val="{02E65695-A5D7-41B4-BA0F-D2C7F116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rFonts w:ascii="Bookman Old Style" w:eastAsia="Bookman Old Style" w:hAnsi="Bookman Old Style" w:cs="Bookman Old Style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D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 Sans MT" w:eastAsia="Gill Sans MT" w:hAnsi="Gill Sans MT" w:cs="Gill Sans MT"/>
      <w:sz w:val="24"/>
      <w:szCs w:val="24"/>
    </w:rPr>
  </w:style>
  <w:style w:type="paragraph" w:styleId="Title">
    <w:name w:val="Title"/>
    <w:basedOn w:val="Normal"/>
    <w:uiPriority w:val="10"/>
    <w:qFormat/>
    <w:pPr>
      <w:spacing w:before="258" w:line="786" w:lineRule="exact"/>
      <w:ind w:left="12"/>
    </w:pPr>
    <w:rPr>
      <w:rFonts w:ascii="Book Antiqua" w:eastAsia="Book Antiqua" w:hAnsi="Book Antiqua" w:cs="Book Antiqua"/>
      <w:b/>
      <w:bCs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7"/>
    </w:pPr>
  </w:style>
  <w:style w:type="character" w:customStyle="1" w:styleId="Heading2Char">
    <w:name w:val="Heading 2 Char"/>
    <w:basedOn w:val="DefaultParagraphFont"/>
    <w:link w:val="Heading2"/>
    <w:uiPriority w:val="9"/>
    <w:rsid w:val="00312D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C622E04E5B342B5EAFF44998EE66F" ma:contentTypeVersion="17" ma:contentTypeDescription="Create a new document." ma:contentTypeScope="" ma:versionID="b922a0294e35ad32ba4c9dc86313e036">
  <xsd:schema xmlns:xsd="http://www.w3.org/2001/XMLSchema" xmlns:xs="http://www.w3.org/2001/XMLSchema" xmlns:p="http://schemas.microsoft.com/office/2006/metadata/properties" xmlns:ns2="c50b7602-d8bd-4313-b0f6-999b2b0c499b" xmlns:ns3="94a944b7-5787-42a7-afc1-2107524c1f9a" targetNamespace="http://schemas.microsoft.com/office/2006/metadata/properties" ma:root="true" ma:fieldsID="d9eb608bf19f3897ae2ebd1cf8b2081f" ns2:_="" ns3:_="">
    <xsd:import namespace="c50b7602-d8bd-4313-b0f6-999b2b0c499b"/>
    <xsd:import namespace="94a944b7-5787-42a7-afc1-2107524c1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b7602-d8bd-4313-b0f6-999b2b0c4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91e7e39-521b-4337-940b-1fe803ee9a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944b7-5787-42a7-afc1-2107524c1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1fdae86-ee18-4d00-9d86-d3a1d034648f}" ma:internalName="TaxCatchAll" ma:showField="CatchAllData" ma:web="94a944b7-5787-42a7-afc1-2107524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944b7-5787-42a7-afc1-2107524c1f9a" xsi:nil="true"/>
    <lcf76f155ced4ddcb4097134ff3c332f xmlns="c50b7602-d8bd-4313-b0f6-999b2b0c4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B9479-2740-4886-93F7-697EB0A0C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b7602-d8bd-4313-b0f6-999b2b0c499b"/>
    <ds:schemaRef ds:uri="94a944b7-5787-42a7-afc1-2107524c1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AC6C3-D1E0-4025-8263-3FE85F40A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C9D47-D09B-4ACF-A738-AE6E3B4795DB}">
  <ds:schemaRefs>
    <ds:schemaRef ds:uri="http://schemas.microsoft.com/office/2006/metadata/properties"/>
    <ds:schemaRef ds:uri="http://schemas.microsoft.com/office/infopath/2007/PartnerControls"/>
    <ds:schemaRef ds:uri="94a944b7-5787-42a7-afc1-2107524c1f9a"/>
    <ds:schemaRef ds:uri="c50b7602-d8bd-4313-b0f6-999b2b0c49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Dallison</dc:creator>
  <cp:keywords/>
  <cp:lastModifiedBy>Shereen Fathy</cp:lastModifiedBy>
  <cp:revision>14</cp:revision>
  <dcterms:created xsi:type="dcterms:W3CDTF">2026-06-08T09:28:00Z</dcterms:created>
  <dcterms:modified xsi:type="dcterms:W3CDTF">2026-06-16T09:55:00Z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0x010100855C622E04E5B342B5EAFF44998EE66F</vt:lpwstr>
  </property>
  <property fmtid="{D5CDD505-2E9C-101B-9397-08002B2CF9AE}" pid="7" name="MediaServiceImageTags">
    <vt:lpwstr/>
  </property>
</Properties>
</file>