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8FD0" w14:textId="77777777" w:rsidR="005101C5" w:rsidRDefault="00F26CF0">
      <w:pPr>
        <w:spacing w:before="120" w:after="120" w:line="336" w:lineRule="auto"/>
      </w:pPr>
      <w:r>
        <w:rPr>
          <w:rFonts w:ascii="Verdana Pro" w:eastAsia="Verdana Pro" w:hAnsi="Verdana Pro" w:cs="Verdana Pro"/>
          <w:color w:val="000000"/>
        </w:rPr>
        <w:t xml:space="preserve"> </w:t>
      </w:r>
    </w:p>
    <w:p w14:paraId="079AE5E6" w14:textId="77777777" w:rsidR="005101C5" w:rsidRDefault="00F26CF0">
      <w:pPr>
        <w:spacing w:before="120" w:after="120" w:line="336" w:lineRule="auto"/>
      </w:pPr>
      <w:r>
        <w:rPr>
          <w:rFonts w:ascii="Verdana Pro Bold" w:eastAsia="Verdana Pro Bold" w:hAnsi="Verdana Pro Bold" w:cs="Verdana Pro Bold"/>
          <w:b/>
          <w:bCs/>
          <w:color w:val="000000"/>
        </w:rPr>
        <w:t xml:space="preserve"> </w:t>
      </w:r>
    </w:p>
    <w:p w14:paraId="5C725908" w14:textId="77777777" w:rsidR="005101C5" w:rsidRDefault="00F26CF0">
      <w:pPr>
        <w:spacing w:before="120" w:after="120"/>
        <w:jc w:val="right"/>
      </w:pPr>
      <w:r>
        <w:rPr>
          <w:noProof/>
        </w:rPr>
        <w:drawing>
          <wp:inline distT="0" distB="0" distL="0" distR="0" wp14:anchorId="1ACF1C55" wp14:editId="167EAF17">
            <wp:extent cx="2182732" cy="869124"/>
            <wp:effectExtent l="0" t="0" r="0" b="0"/>
            <wp:docPr id="1447329771" name="Drawing 0" descr="2272cc7a-99ee-430c-a433-45dcad75287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2272cc7a-99ee-430c-a433-45dcad752876.png"/>
                    <pic:cNvPicPr>
                      <a:picLocks noChangeAspect="1"/>
                    </pic:cNvPicPr>
                  </pic:nvPicPr>
                  <pic:blipFill>
                    <a:blip r:embed="rId5"/>
                    <a:stretch>
                      <a:fillRect/>
                    </a:stretch>
                  </pic:blipFill>
                  <pic:spPr>
                    <a:xfrm>
                      <a:off x="0" y="0"/>
                      <a:ext cx="2182732" cy="869124"/>
                    </a:xfrm>
                    <a:prstGeom prst="rect">
                      <a:avLst/>
                    </a:prstGeom>
                  </pic:spPr>
                </pic:pic>
              </a:graphicData>
            </a:graphic>
          </wp:inline>
        </w:drawing>
      </w:r>
    </w:p>
    <w:p w14:paraId="29CE75C1" w14:textId="77777777" w:rsidR="005101C5" w:rsidRDefault="00F26CF0">
      <w:pPr>
        <w:spacing w:before="120" w:after="120" w:line="336" w:lineRule="auto"/>
      </w:pPr>
      <w:r>
        <w:rPr>
          <w:rFonts w:ascii="Verdana Pro Bold" w:eastAsia="Verdana Pro Bold" w:hAnsi="Verdana Pro Bold" w:cs="Verdana Pro Bold"/>
          <w:b/>
          <w:bCs/>
          <w:color w:val="000000"/>
          <w:sz w:val="36"/>
          <w:szCs w:val="36"/>
        </w:rPr>
        <w:t xml:space="preserve">Calico Community Investment Fund: </w:t>
      </w:r>
    </w:p>
    <w:p w14:paraId="70882B87" w14:textId="77777777" w:rsidR="005101C5" w:rsidRDefault="00F26CF0">
      <w:pPr>
        <w:spacing w:before="120" w:after="120" w:line="336" w:lineRule="auto"/>
      </w:pPr>
      <w:r>
        <w:rPr>
          <w:rFonts w:ascii="Verdana Pro Bold" w:eastAsia="Verdana Pro Bold" w:hAnsi="Verdana Pro Bold" w:cs="Verdana Pro Bold"/>
          <w:b/>
          <w:bCs/>
          <w:color w:val="000000"/>
        </w:rPr>
        <w:t xml:space="preserve">Application Process: </w:t>
      </w:r>
    </w:p>
    <w:p w14:paraId="32FABFA6" w14:textId="77777777" w:rsidR="005101C5" w:rsidRDefault="00F26CF0">
      <w:pPr>
        <w:spacing w:before="120" w:after="120" w:line="336" w:lineRule="auto"/>
      </w:pPr>
      <w:r>
        <w:rPr>
          <w:rFonts w:ascii="Verdana Pro" w:eastAsia="Verdana Pro" w:hAnsi="Verdana Pro" w:cs="Verdana Pro"/>
          <w:color w:val="000000"/>
        </w:rPr>
        <w:t xml:space="preserve">Applications are open quarterly: these can be submitted via video, or by completing an online application or paper copy (which can be collected from one of our offices) once submission closes all eligible projects will be sent to the CEN for voting using a scoring system based on the below: </w:t>
      </w:r>
    </w:p>
    <w:tbl>
      <w:tblPr>
        <w:tblW w:w="9030" w:type="dxa"/>
        <w:tblInd w:w="180" w:type="dxa"/>
        <w:tblBorders>
          <w:top w:val="single" w:sz="12" w:space="0" w:color="DBDBDB"/>
          <w:left w:val="single" w:sz="12" w:space="0" w:color="DBDBDB"/>
          <w:bottom w:val="single" w:sz="12" w:space="0" w:color="DBDBDB"/>
          <w:right w:val="single" w:sz="12" w:space="0" w:color="DBDBDB"/>
          <w:insideH w:val="single" w:sz="12" w:space="0" w:color="DBDBDB"/>
          <w:insideV w:val="single" w:sz="12" w:space="0" w:color="DBDBDB"/>
        </w:tblBorders>
        <w:tblCellMar>
          <w:left w:w="10" w:type="dxa"/>
          <w:right w:w="10" w:type="dxa"/>
        </w:tblCellMar>
        <w:tblLook w:val="0000" w:firstRow="0" w:lastRow="0" w:firstColumn="0" w:lastColumn="0" w:noHBand="0" w:noVBand="0"/>
      </w:tblPr>
      <w:tblGrid>
        <w:gridCol w:w="4515"/>
        <w:gridCol w:w="4515"/>
      </w:tblGrid>
      <w:tr w:rsidR="005101C5" w14:paraId="12AE7EDA" w14:textId="77777777">
        <w:tblPrEx>
          <w:tblCellMar>
            <w:top w:w="0" w:type="dxa"/>
            <w:bottom w:w="0" w:type="dxa"/>
          </w:tblCellMar>
        </w:tblPrEx>
        <w:tc>
          <w:tcPr>
            <w:tcW w:w="4515" w:type="dxa"/>
            <w:tcMar>
              <w:top w:w="180" w:type="dxa"/>
              <w:left w:w="180" w:type="dxa"/>
              <w:bottom w:w="180" w:type="dxa"/>
              <w:right w:w="180" w:type="dxa"/>
            </w:tcMar>
          </w:tcPr>
          <w:p w14:paraId="58970278" w14:textId="77777777" w:rsidR="005101C5" w:rsidRDefault="00F26CF0">
            <w:pPr>
              <w:spacing w:before="120" w:after="120" w:line="336" w:lineRule="auto"/>
            </w:pPr>
            <w:r>
              <w:rPr>
                <w:rFonts w:ascii="Verdana Pro Bold" w:eastAsia="Verdana Pro Bold" w:hAnsi="Verdana Pro Bold" w:cs="Verdana Pro Bold"/>
                <w:b/>
                <w:bCs/>
                <w:color w:val="000000"/>
              </w:rPr>
              <w:t>Criteria</w:t>
            </w:r>
            <w:r>
              <w:rPr>
                <w:rFonts w:ascii="Verdana Pro" w:eastAsia="Verdana Pro" w:hAnsi="Verdana Pro" w:cs="Verdana Pro"/>
                <w:color w:val="000000"/>
              </w:rPr>
              <w:t xml:space="preserve"> </w:t>
            </w:r>
          </w:p>
        </w:tc>
        <w:tc>
          <w:tcPr>
            <w:tcW w:w="4515" w:type="dxa"/>
            <w:tcMar>
              <w:top w:w="180" w:type="dxa"/>
              <w:left w:w="180" w:type="dxa"/>
              <w:bottom w:w="180" w:type="dxa"/>
              <w:right w:w="180" w:type="dxa"/>
            </w:tcMar>
          </w:tcPr>
          <w:p w14:paraId="34469427" w14:textId="77777777" w:rsidR="005101C5" w:rsidRDefault="00F26CF0">
            <w:pPr>
              <w:spacing w:before="120" w:after="120" w:line="336" w:lineRule="auto"/>
            </w:pPr>
            <w:r>
              <w:rPr>
                <w:rFonts w:ascii="Verdana Pro Bold" w:eastAsia="Verdana Pro Bold" w:hAnsi="Verdana Pro Bold" w:cs="Verdana Pro Bold"/>
                <w:b/>
                <w:bCs/>
                <w:color w:val="000000"/>
              </w:rPr>
              <w:t xml:space="preserve">Score (1-5)  </w:t>
            </w:r>
          </w:p>
        </w:tc>
      </w:tr>
      <w:tr w:rsidR="005101C5" w14:paraId="609A1190" w14:textId="77777777">
        <w:tblPrEx>
          <w:tblCellMar>
            <w:top w:w="0" w:type="dxa"/>
            <w:bottom w:w="0" w:type="dxa"/>
          </w:tblCellMar>
        </w:tblPrEx>
        <w:tc>
          <w:tcPr>
            <w:tcW w:w="4515" w:type="dxa"/>
            <w:tcMar>
              <w:top w:w="180" w:type="dxa"/>
              <w:left w:w="180" w:type="dxa"/>
              <w:bottom w:w="180" w:type="dxa"/>
              <w:right w:w="180" w:type="dxa"/>
            </w:tcMar>
          </w:tcPr>
          <w:p w14:paraId="4B452D23" w14:textId="77777777" w:rsidR="005101C5" w:rsidRDefault="00F26CF0">
            <w:pPr>
              <w:spacing w:before="120" w:after="120" w:line="336" w:lineRule="auto"/>
            </w:pPr>
            <w:r>
              <w:rPr>
                <w:rFonts w:ascii="Verdana Pro" w:eastAsia="Verdana Pro" w:hAnsi="Verdana Pro" w:cs="Verdana Pro"/>
                <w:color w:val="000000"/>
              </w:rPr>
              <w:t xml:space="preserve">Will this improve the area where customers live? </w:t>
            </w:r>
          </w:p>
        </w:tc>
        <w:tc>
          <w:tcPr>
            <w:tcW w:w="4515" w:type="dxa"/>
            <w:tcMar>
              <w:top w:w="180" w:type="dxa"/>
              <w:left w:w="180" w:type="dxa"/>
              <w:bottom w:w="180" w:type="dxa"/>
              <w:right w:w="180" w:type="dxa"/>
            </w:tcMar>
          </w:tcPr>
          <w:p w14:paraId="37E17D8B" w14:textId="77777777" w:rsidR="005101C5" w:rsidRDefault="00F26CF0">
            <w:pPr>
              <w:spacing w:before="120" w:after="120" w:line="336" w:lineRule="auto"/>
            </w:pPr>
            <w:r>
              <w:rPr>
                <w:rFonts w:ascii="Verdana Pro" w:eastAsia="Verdana Pro" w:hAnsi="Verdana Pro" w:cs="Verdana Pro"/>
                <w:color w:val="000000"/>
              </w:rPr>
              <w:t xml:space="preserve"> </w:t>
            </w:r>
          </w:p>
        </w:tc>
      </w:tr>
      <w:tr w:rsidR="005101C5" w14:paraId="6158C0AA" w14:textId="77777777">
        <w:tblPrEx>
          <w:tblCellMar>
            <w:top w:w="0" w:type="dxa"/>
            <w:bottom w:w="0" w:type="dxa"/>
          </w:tblCellMar>
        </w:tblPrEx>
        <w:tc>
          <w:tcPr>
            <w:tcW w:w="4515" w:type="dxa"/>
            <w:tcMar>
              <w:top w:w="180" w:type="dxa"/>
              <w:left w:w="180" w:type="dxa"/>
              <w:bottom w:w="180" w:type="dxa"/>
              <w:right w:w="180" w:type="dxa"/>
            </w:tcMar>
          </w:tcPr>
          <w:p w14:paraId="11A0B9E0" w14:textId="77777777" w:rsidR="005101C5" w:rsidRDefault="00F26CF0">
            <w:pPr>
              <w:spacing w:before="120" w:after="120" w:line="336" w:lineRule="auto"/>
            </w:pPr>
            <w:r>
              <w:rPr>
                <w:rFonts w:ascii="Verdana Pro" w:eastAsia="Verdana Pro" w:hAnsi="Verdana Pro" w:cs="Verdana Pro"/>
                <w:color w:val="000000"/>
              </w:rPr>
              <w:t xml:space="preserve">Will it benefit multiple customers? </w:t>
            </w:r>
          </w:p>
        </w:tc>
        <w:tc>
          <w:tcPr>
            <w:tcW w:w="4515" w:type="dxa"/>
            <w:tcMar>
              <w:top w:w="180" w:type="dxa"/>
              <w:left w:w="180" w:type="dxa"/>
              <w:bottom w:w="180" w:type="dxa"/>
              <w:right w:w="180" w:type="dxa"/>
            </w:tcMar>
          </w:tcPr>
          <w:p w14:paraId="5E0783D1" w14:textId="77777777" w:rsidR="005101C5" w:rsidRDefault="00F26CF0">
            <w:pPr>
              <w:spacing w:before="120" w:after="120" w:line="336" w:lineRule="auto"/>
            </w:pPr>
            <w:r>
              <w:rPr>
                <w:rFonts w:ascii="Verdana Pro" w:eastAsia="Verdana Pro" w:hAnsi="Verdana Pro" w:cs="Verdana Pro"/>
                <w:color w:val="000000"/>
              </w:rPr>
              <w:t xml:space="preserve"> </w:t>
            </w:r>
          </w:p>
        </w:tc>
      </w:tr>
      <w:tr w:rsidR="005101C5" w14:paraId="704563C0" w14:textId="77777777">
        <w:tblPrEx>
          <w:tblCellMar>
            <w:top w:w="0" w:type="dxa"/>
            <w:bottom w:w="0" w:type="dxa"/>
          </w:tblCellMar>
        </w:tblPrEx>
        <w:tc>
          <w:tcPr>
            <w:tcW w:w="4515" w:type="dxa"/>
            <w:tcMar>
              <w:top w:w="180" w:type="dxa"/>
              <w:left w:w="180" w:type="dxa"/>
              <w:bottom w:w="180" w:type="dxa"/>
              <w:right w:w="180" w:type="dxa"/>
            </w:tcMar>
          </w:tcPr>
          <w:p w14:paraId="24E42E80" w14:textId="77777777" w:rsidR="005101C5" w:rsidRDefault="00F26CF0">
            <w:pPr>
              <w:spacing w:before="120" w:after="120" w:line="336" w:lineRule="auto"/>
            </w:pPr>
            <w:r>
              <w:rPr>
                <w:rFonts w:ascii="Verdana Pro" w:eastAsia="Verdana Pro" w:hAnsi="Verdana Pro" w:cs="Verdana Pro"/>
                <w:color w:val="000000"/>
              </w:rPr>
              <w:t xml:space="preserve">Is it achievable and realistic? </w:t>
            </w:r>
          </w:p>
        </w:tc>
        <w:tc>
          <w:tcPr>
            <w:tcW w:w="4515" w:type="dxa"/>
            <w:tcMar>
              <w:top w:w="180" w:type="dxa"/>
              <w:left w:w="180" w:type="dxa"/>
              <w:bottom w:w="180" w:type="dxa"/>
              <w:right w:w="180" w:type="dxa"/>
            </w:tcMar>
          </w:tcPr>
          <w:p w14:paraId="60D897D3" w14:textId="77777777" w:rsidR="005101C5" w:rsidRDefault="00F26CF0">
            <w:pPr>
              <w:spacing w:before="120" w:after="120" w:line="336" w:lineRule="auto"/>
            </w:pPr>
            <w:r>
              <w:rPr>
                <w:rFonts w:ascii="Verdana Pro" w:eastAsia="Verdana Pro" w:hAnsi="Verdana Pro" w:cs="Verdana Pro"/>
                <w:color w:val="000000"/>
              </w:rPr>
              <w:t xml:space="preserve"> </w:t>
            </w:r>
          </w:p>
        </w:tc>
      </w:tr>
      <w:tr w:rsidR="005101C5" w14:paraId="354F28EF" w14:textId="77777777">
        <w:tblPrEx>
          <w:tblCellMar>
            <w:top w:w="0" w:type="dxa"/>
            <w:bottom w:w="0" w:type="dxa"/>
          </w:tblCellMar>
        </w:tblPrEx>
        <w:tc>
          <w:tcPr>
            <w:tcW w:w="4515" w:type="dxa"/>
            <w:tcMar>
              <w:top w:w="180" w:type="dxa"/>
              <w:left w:w="180" w:type="dxa"/>
              <w:bottom w:w="180" w:type="dxa"/>
              <w:right w:w="180" w:type="dxa"/>
            </w:tcMar>
          </w:tcPr>
          <w:p w14:paraId="31109E62" w14:textId="77777777" w:rsidR="005101C5" w:rsidRDefault="00F26CF0">
            <w:pPr>
              <w:spacing w:before="120" w:after="120" w:line="336" w:lineRule="auto"/>
            </w:pPr>
            <w:r>
              <w:rPr>
                <w:rFonts w:ascii="Verdana Pro" w:eastAsia="Verdana Pro" w:hAnsi="Verdana Pro" w:cs="Verdana Pro"/>
                <w:color w:val="000000"/>
              </w:rPr>
              <w:t xml:space="preserve">Does it support community involvement? </w:t>
            </w:r>
          </w:p>
        </w:tc>
        <w:tc>
          <w:tcPr>
            <w:tcW w:w="4515" w:type="dxa"/>
            <w:tcMar>
              <w:top w:w="180" w:type="dxa"/>
              <w:left w:w="180" w:type="dxa"/>
              <w:bottom w:w="180" w:type="dxa"/>
              <w:right w:w="180" w:type="dxa"/>
            </w:tcMar>
          </w:tcPr>
          <w:p w14:paraId="6598E326" w14:textId="77777777" w:rsidR="005101C5" w:rsidRDefault="00F26CF0">
            <w:pPr>
              <w:spacing w:before="120" w:after="120" w:line="336" w:lineRule="auto"/>
            </w:pPr>
            <w:r>
              <w:rPr>
                <w:rFonts w:ascii="Verdana Pro" w:eastAsia="Verdana Pro" w:hAnsi="Verdana Pro" w:cs="Verdana Pro"/>
                <w:color w:val="000000"/>
              </w:rPr>
              <w:t xml:space="preserve"> </w:t>
            </w:r>
          </w:p>
        </w:tc>
      </w:tr>
      <w:tr w:rsidR="005101C5" w14:paraId="1A1C4870" w14:textId="77777777">
        <w:tblPrEx>
          <w:tblCellMar>
            <w:top w:w="0" w:type="dxa"/>
            <w:bottom w:w="0" w:type="dxa"/>
          </w:tblCellMar>
        </w:tblPrEx>
        <w:tc>
          <w:tcPr>
            <w:tcW w:w="4515" w:type="dxa"/>
            <w:tcMar>
              <w:top w:w="180" w:type="dxa"/>
              <w:left w:w="180" w:type="dxa"/>
              <w:bottom w:w="180" w:type="dxa"/>
              <w:right w:w="180" w:type="dxa"/>
            </w:tcMar>
          </w:tcPr>
          <w:p w14:paraId="38E22387" w14:textId="77777777" w:rsidR="005101C5" w:rsidRDefault="00F26CF0">
            <w:pPr>
              <w:spacing w:before="120" w:after="120" w:line="336" w:lineRule="auto"/>
            </w:pPr>
            <w:r>
              <w:rPr>
                <w:rFonts w:ascii="Verdana Pro" w:eastAsia="Verdana Pro" w:hAnsi="Verdana Pro" w:cs="Verdana Pro"/>
                <w:color w:val="000000"/>
              </w:rPr>
              <w:t xml:space="preserve">Does it offer value for money? </w:t>
            </w:r>
          </w:p>
        </w:tc>
        <w:tc>
          <w:tcPr>
            <w:tcW w:w="4515" w:type="dxa"/>
            <w:tcMar>
              <w:top w:w="180" w:type="dxa"/>
              <w:left w:w="180" w:type="dxa"/>
              <w:bottom w:w="180" w:type="dxa"/>
              <w:right w:w="180" w:type="dxa"/>
            </w:tcMar>
          </w:tcPr>
          <w:p w14:paraId="5679CF8D" w14:textId="77777777" w:rsidR="005101C5" w:rsidRDefault="00F26CF0">
            <w:pPr>
              <w:spacing w:before="120" w:after="120" w:line="336" w:lineRule="auto"/>
            </w:pPr>
            <w:r>
              <w:rPr>
                <w:rFonts w:ascii="Verdana Pro" w:eastAsia="Verdana Pro" w:hAnsi="Verdana Pro" w:cs="Verdana Pro"/>
                <w:color w:val="000000"/>
              </w:rPr>
              <w:t xml:space="preserve"> </w:t>
            </w:r>
          </w:p>
        </w:tc>
      </w:tr>
    </w:tbl>
    <w:p w14:paraId="4A13BFF6" w14:textId="77777777" w:rsidR="005101C5" w:rsidRDefault="00F26CF0">
      <w:pPr>
        <w:spacing w:before="120" w:after="120" w:line="336" w:lineRule="auto"/>
      </w:pPr>
      <w:r>
        <w:rPr>
          <w:rFonts w:ascii="Verdana Pro" w:eastAsia="Verdana Pro" w:hAnsi="Verdana Pro" w:cs="Verdana Pro"/>
          <w:color w:val="000000"/>
        </w:rPr>
        <w:t xml:space="preserve"> </w:t>
      </w:r>
    </w:p>
    <w:p w14:paraId="72B820F2" w14:textId="77777777" w:rsidR="005101C5" w:rsidRDefault="00F26CF0">
      <w:pPr>
        <w:spacing w:before="120" w:after="120" w:line="336" w:lineRule="auto"/>
      </w:pPr>
      <w:r>
        <w:rPr>
          <w:rFonts w:ascii="Verdana Pro Bold" w:eastAsia="Verdana Pro Bold" w:hAnsi="Verdana Pro Bold" w:cs="Verdana Pro Bold"/>
          <w:b/>
          <w:bCs/>
          <w:color w:val="000000"/>
        </w:rPr>
        <w:t>Eligibility Criteria</w:t>
      </w:r>
      <w:r>
        <w:rPr>
          <w:rFonts w:ascii="Verdana Pro" w:eastAsia="Verdana Pro" w:hAnsi="Verdana Pro" w:cs="Verdana Pro"/>
          <w:color w:val="000000"/>
        </w:rPr>
        <w:t xml:space="preserve"> </w:t>
      </w:r>
    </w:p>
    <w:p w14:paraId="1CD4E94A" w14:textId="77777777" w:rsidR="005101C5" w:rsidRDefault="00F26CF0">
      <w:pPr>
        <w:spacing w:before="120" w:after="120" w:line="336" w:lineRule="auto"/>
      </w:pPr>
      <w:r>
        <w:rPr>
          <w:rFonts w:ascii="Verdana Pro" w:eastAsia="Verdana Pro" w:hAnsi="Verdana Pro" w:cs="Verdana Pro"/>
          <w:color w:val="000000"/>
        </w:rPr>
        <w:lastRenderedPageBreak/>
        <w:t xml:space="preserve">Projects should provide a </w:t>
      </w:r>
      <w:r>
        <w:rPr>
          <w:rFonts w:ascii="Verdana Pro Bold" w:eastAsia="Verdana Pro Bold" w:hAnsi="Verdana Pro Bold" w:cs="Verdana Pro Bold"/>
          <w:b/>
          <w:bCs/>
          <w:color w:val="000000"/>
        </w:rPr>
        <w:t>direct, lasting, and visible improvement</w:t>
      </w:r>
      <w:r>
        <w:rPr>
          <w:rFonts w:ascii="Verdana Pro" w:eastAsia="Verdana Pro" w:hAnsi="Verdana Pro" w:cs="Verdana Pro"/>
          <w:color w:val="000000"/>
        </w:rPr>
        <w:t xml:space="preserve"> to shared or communal areas or improves Community Spirit. </w:t>
      </w:r>
    </w:p>
    <w:p w14:paraId="2F067BA6" w14:textId="77777777" w:rsidR="005101C5" w:rsidRDefault="00F26CF0">
      <w:pPr>
        <w:spacing w:before="120" w:after="120" w:line="336" w:lineRule="auto"/>
      </w:pPr>
      <w:r>
        <w:rPr>
          <w:rFonts w:ascii="Verdana Pro Bold" w:eastAsia="Verdana Pro Bold" w:hAnsi="Verdana Pro Bold" w:cs="Verdana Pro Bold"/>
          <w:b/>
          <w:bCs/>
          <w:color w:val="000000"/>
        </w:rPr>
        <w:t>Examples of Eligible Projects</w:t>
      </w:r>
      <w:r>
        <w:rPr>
          <w:rFonts w:ascii="Verdana Pro" w:eastAsia="Verdana Pro" w:hAnsi="Verdana Pro" w:cs="Verdana Pro"/>
          <w:color w:val="000000"/>
        </w:rPr>
        <w:t xml:space="preserve"> </w:t>
      </w:r>
    </w:p>
    <w:p w14:paraId="26C258E3" w14:textId="77777777" w:rsidR="005101C5" w:rsidRDefault="00F26CF0">
      <w:pPr>
        <w:numPr>
          <w:ilvl w:val="0"/>
          <w:numId w:val="1"/>
        </w:numPr>
        <w:spacing w:after="0" w:line="336" w:lineRule="auto"/>
      </w:pPr>
      <w:r>
        <w:rPr>
          <w:rFonts w:ascii="Verdana Pro" w:eastAsia="Verdana Pro" w:hAnsi="Verdana Pro" w:cs="Verdana Pro"/>
          <w:color w:val="000000"/>
        </w:rPr>
        <w:t xml:space="preserve">Improvements to </w:t>
      </w:r>
      <w:r>
        <w:rPr>
          <w:rFonts w:ascii="Verdana Pro Bold" w:eastAsia="Verdana Pro Bold" w:hAnsi="Verdana Pro Bold" w:cs="Verdana Pro Bold"/>
          <w:b/>
          <w:bCs/>
          <w:color w:val="000000"/>
        </w:rPr>
        <w:t>communal gardens</w:t>
      </w:r>
      <w:r>
        <w:rPr>
          <w:rFonts w:ascii="Verdana Pro" w:eastAsia="Verdana Pro" w:hAnsi="Verdana Pro" w:cs="Verdana Pro"/>
          <w:color w:val="000000"/>
        </w:rPr>
        <w:t xml:space="preserve"> </w:t>
      </w:r>
    </w:p>
    <w:p w14:paraId="08D8BE2E" w14:textId="77777777" w:rsidR="005101C5" w:rsidRDefault="00F26CF0">
      <w:pPr>
        <w:numPr>
          <w:ilvl w:val="0"/>
          <w:numId w:val="1"/>
        </w:numPr>
        <w:spacing w:after="0" w:line="336" w:lineRule="auto"/>
      </w:pPr>
      <w:r>
        <w:rPr>
          <w:rFonts w:ascii="Verdana Pro" w:eastAsia="Verdana Pro" w:hAnsi="Verdana Pro" w:cs="Verdana Pro"/>
          <w:color w:val="000000"/>
        </w:rPr>
        <w:t xml:space="preserve">Planting trees, shrubs, or community growing beds </w:t>
      </w:r>
    </w:p>
    <w:p w14:paraId="7E04A9A6" w14:textId="77777777" w:rsidR="005101C5" w:rsidRDefault="00F26CF0">
      <w:pPr>
        <w:numPr>
          <w:ilvl w:val="0"/>
          <w:numId w:val="1"/>
        </w:numPr>
        <w:spacing w:after="0" w:line="336" w:lineRule="auto"/>
      </w:pPr>
      <w:r>
        <w:rPr>
          <w:rFonts w:ascii="Verdana Pro" w:eastAsia="Verdana Pro" w:hAnsi="Verdana Pro" w:cs="Verdana Pro"/>
          <w:color w:val="000000"/>
        </w:rPr>
        <w:t xml:space="preserve">Patio, paving, or decking in communal external areas </w:t>
      </w:r>
    </w:p>
    <w:p w14:paraId="13ED3553" w14:textId="77777777" w:rsidR="005101C5" w:rsidRDefault="00F26CF0">
      <w:pPr>
        <w:numPr>
          <w:ilvl w:val="0"/>
          <w:numId w:val="1"/>
        </w:numPr>
        <w:spacing w:after="0" w:line="336" w:lineRule="auto"/>
      </w:pPr>
      <w:r>
        <w:rPr>
          <w:rFonts w:ascii="Verdana Pro" w:eastAsia="Verdana Pro" w:hAnsi="Verdana Pro" w:cs="Verdana Pro"/>
          <w:color w:val="000000"/>
        </w:rPr>
        <w:t xml:space="preserve">Initiatives promoting </w:t>
      </w:r>
      <w:r>
        <w:rPr>
          <w:rFonts w:ascii="Verdana Pro Bold" w:eastAsia="Verdana Pro Bold" w:hAnsi="Verdana Pro Bold" w:cs="Verdana Pro Bold"/>
          <w:b/>
          <w:bCs/>
          <w:color w:val="000000"/>
        </w:rPr>
        <w:t>health and wellbeing</w:t>
      </w:r>
      <w:r>
        <w:rPr>
          <w:rFonts w:ascii="Verdana Pro" w:eastAsia="Verdana Pro" w:hAnsi="Verdana Pro" w:cs="Verdana Pro"/>
          <w:color w:val="000000"/>
        </w:rPr>
        <w:t xml:space="preserve"> </w:t>
      </w:r>
    </w:p>
    <w:p w14:paraId="0E2379E9" w14:textId="77777777" w:rsidR="005101C5" w:rsidRDefault="00F26CF0">
      <w:pPr>
        <w:numPr>
          <w:ilvl w:val="0"/>
          <w:numId w:val="1"/>
        </w:numPr>
        <w:spacing w:after="0" w:line="336" w:lineRule="auto"/>
      </w:pPr>
      <w:r>
        <w:rPr>
          <w:rFonts w:ascii="Verdana Pro" w:eastAsia="Verdana Pro" w:hAnsi="Verdana Pro" w:cs="Verdana Pro"/>
          <w:color w:val="000000"/>
        </w:rPr>
        <w:t xml:space="preserve">Projects involving </w:t>
      </w:r>
      <w:r>
        <w:rPr>
          <w:rFonts w:ascii="Verdana Pro Bold" w:eastAsia="Verdana Pro Bold" w:hAnsi="Verdana Pro Bold" w:cs="Verdana Pro Bold"/>
          <w:b/>
          <w:bCs/>
          <w:color w:val="000000"/>
        </w:rPr>
        <w:t>active participation</w:t>
      </w:r>
      <w:r>
        <w:rPr>
          <w:rFonts w:ascii="Verdana Pro" w:eastAsia="Verdana Pro" w:hAnsi="Verdana Pro" w:cs="Verdana Pro"/>
          <w:color w:val="000000"/>
        </w:rPr>
        <w:t xml:space="preserve"> of local people </w:t>
      </w:r>
    </w:p>
    <w:p w14:paraId="0208A170" w14:textId="77777777" w:rsidR="005101C5" w:rsidRDefault="00F26CF0">
      <w:pPr>
        <w:numPr>
          <w:ilvl w:val="0"/>
          <w:numId w:val="1"/>
        </w:numPr>
        <w:spacing w:after="0" w:line="336" w:lineRule="auto"/>
      </w:pPr>
      <w:r>
        <w:rPr>
          <w:rFonts w:ascii="Verdana Pro" w:eastAsia="Verdana Pro" w:hAnsi="Verdana Pro" w:cs="Verdana Pro"/>
          <w:color w:val="000000"/>
        </w:rPr>
        <w:t xml:space="preserve">Enhancements that deter fly tipping </w:t>
      </w:r>
    </w:p>
    <w:p w14:paraId="2025E53C" w14:textId="77777777" w:rsidR="005101C5" w:rsidRDefault="00F26CF0">
      <w:pPr>
        <w:numPr>
          <w:ilvl w:val="0"/>
          <w:numId w:val="1"/>
        </w:numPr>
        <w:spacing w:after="0" w:line="336" w:lineRule="auto"/>
      </w:pPr>
      <w:r>
        <w:rPr>
          <w:rFonts w:ascii="Verdana Pro" w:eastAsia="Verdana Pro" w:hAnsi="Verdana Pro" w:cs="Verdana Pro"/>
          <w:color w:val="000000"/>
        </w:rPr>
        <w:t xml:space="preserve">Installation of communal benches, planters, or notice boards </w:t>
      </w:r>
    </w:p>
    <w:p w14:paraId="68D7F455" w14:textId="77777777" w:rsidR="005101C5" w:rsidRDefault="00F26CF0">
      <w:pPr>
        <w:numPr>
          <w:ilvl w:val="0"/>
          <w:numId w:val="1"/>
        </w:numPr>
        <w:spacing w:after="0" w:line="336" w:lineRule="auto"/>
      </w:pPr>
      <w:r>
        <w:rPr>
          <w:rFonts w:ascii="Verdana Pro" w:eastAsia="Verdana Pro" w:hAnsi="Verdana Pro" w:cs="Verdana Pro"/>
          <w:color w:val="000000"/>
        </w:rPr>
        <w:t xml:space="preserve">Skip hire for community clean ups, litter picking equipment </w:t>
      </w:r>
    </w:p>
    <w:p w14:paraId="3FC540F0" w14:textId="77777777" w:rsidR="005101C5" w:rsidRDefault="00F26CF0">
      <w:pPr>
        <w:numPr>
          <w:ilvl w:val="0"/>
          <w:numId w:val="1"/>
        </w:numPr>
        <w:spacing w:after="0" w:line="336" w:lineRule="auto"/>
      </w:pPr>
      <w:r>
        <w:rPr>
          <w:rFonts w:ascii="Verdana Pro Bold" w:eastAsia="Verdana Pro Bold" w:hAnsi="Verdana Pro Bold" w:cs="Verdana Pro Bold"/>
          <w:b/>
          <w:bCs/>
          <w:color w:val="000000"/>
        </w:rPr>
        <w:t>Projects that clearly enhance the appearance</w:t>
      </w:r>
      <w:r>
        <w:rPr>
          <w:rFonts w:ascii="Verdana Pro" w:eastAsia="Verdana Pro" w:hAnsi="Verdana Pro" w:cs="Verdana Pro"/>
          <w:color w:val="000000"/>
        </w:rPr>
        <w:t xml:space="preserve"> of a street, block, or shared space </w:t>
      </w:r>
    </w:p>
    <w:p w14:paraId="0D590BC9" w14:textId="77777777" w:rsidR="005101C5" w:rsidRDefault="00F26CF0">
      <w:pPr>
        <w:spacing w:before="120" w:after="120" w:line="336" w:lineRule="auto"/>
      </w:pPr>
      <w:r>
        <w:rPr>
          <w:rFonts w:ascii="Verdana Pro Bold" w:eastAsia="Verdana Pro Bold" w:hAnsi="Verdana Pro Bold" w:cs="Verdana Pro Bold"/>
          <w:b/>
          <w:bCs/>
          <w:color w:val="000000"/>
        </w:rPr>
        <w:t>Ineligible Projects</w:t>
      </w:r>
      <w:r>
        <w:rPr>
          <w:rFonts w:ascii="Verdana Pro" w:eastAsia="Verdana Pro" w:hAnsi="Verdana Pro" w:cs="Verdana Pro"/>
          <w:color w:val="000000"/>
        </w:rPr>
        <w:t xml:space="preserve"> </w:t>
      </w:r>
    </w:p>
    <w:p w14:paraId="2C25D445" w14:textId="77777777" w:rsidR="005101C5" w:rsidRDefault="00F26CF0">
      <w:pPr>
        <w:numPr>
          <w:ilvl w:val="0"/>
          <w:numId w:val="2"/>
        </w:numPr>
        <w:spacing w:after="0" w:line="336" w:lineRule="auto"/>
      </w:pPr>
      <w:r>
        <w:rPr>
          <w:rFonts w:ascii="Verdana Pro" w:eastAsia="Verdana Pro" w:hAnsi="Verdana Pro" w:cs="Verdana Pro"/>
          <w:color w:val="000000"/>
        </w:rPr>
        <w:t xml:space="preserve">Improvements to </w:t>
      </w:r>
      <w:r>
        <w:rPr>
          <w:rFonts w:ascii="Verdana Pro Bold" w:eastAsia="Verdana Pro Bold" w:hAnsi="Verdana Pro Bold" w:cs="Verdana Pro Bold"/>
          <w:b/>
          <w:bCs/>
          <w:color w:val="000000"/>
        </w:rPr>
        <w:t>private gardens</w:t>
      </w:r>
      <w:r>
        <w:rPr>
          <w:rFonts w:ascii="Verdana Pro" w:eastAsia="Verdana Pro" w:hAnsi="Verdana Pro" w:cs="Verdana Pro"/>
          <w:color w:val="000000"/>
        </w:rPr>
        <w:t xml:space="preserve"> or those benefiting a single household </w:t>
      </w:r>
    </w:p>
    <w:p w14:paraId="424D2206" w14:textId="77777777" w:rsidR="005101C5" w:rsidRDefault="00F26CF0">
      <w:pPr>
        <w:numPr>
          <w:ilvl w:val="0"/>
          <w:numId w:val="2"/>
        </w:numPr>
        <w:spacing w:after="0" w:line="336" w:lineRule="auto"/>
      </w:pPr>
      <w:r>
        <w:rPr>
          <w:rFonts w:ascii="Verdana Pro" w:eastAsia="Verdana Pro" w:hAnsi="Verdana Pro" w:cs="Verdana Pro"/>
          <w:color w:val="000000"/>
        </w:rPr>
        <w:t xml:space="preserve">Routine repairs or maintenance </w:t>
      </w:r>
    </w:p>
    <w:p w14:paraId="241F1A8C" w14:textId="77777777" w:rsidR="005101C5" w:rsidRDefault="00F26CF0">
      <w:pPr>
        <w:numPr>
          <w:ilvl w:val="0"/>
          <w:numId w:val="2"/>
        </w:numPr>
        <w:spacing w:after="0" w:line="336" w:lineRule="auto"/>
      </w:pPr>
      <w:r>
        <w:rPr>
          <w:rFonts w:ascii="Verdana Pro" w:eastAsia="Verdana Pro" w:hAnsi="Verdana Pro" w:cs="Verdana Pro"/>
          <w:color w:val="000000"/>
        </w:rPr>
        <w:t xml:space="preserve">Projects unable to be completed within </w:t>
      </w:r>
      <w:r>
        <w:rPr>
          <w:rFonts w:ascii="Verdana Pro Bold" w:eastAsia="Verdana Pro Bold" w:hAnsi="Verdana Pro Bold" w:cs="Verdana Pro Bold"/>
          <w:b/>
          <w:bCs/>
          <w:color w:val="000000"/>
        </w:rPr>
        <w:t>12 months</w:t>
      </w:r>
      <w:r>
        <w:rPr>
          <w:rFonts w:ascii="Verdana Pro" w:eastAsia="Verdana Pro" w:hAnsi="Verdana Pro" w:cs="Verdana Pro"/>
          <w:color w:val="000000"/>
        </w:rPr>
        <w:t xml:space="preserve"> of funding confirmation </w:t>
      </w:r>
    </w:p>
    <w:p w14:paraId="584A2295" w14:textId="77777777" w:rsidR="005101C5" w:rsidRDefault="00F26CF0">
      <w:pPr>
        <w:numPr>
          <w:ilvl w:val="0"/>
          <w:numId w:val="2"/>
        </w:numPr>
        <w:spacing w:after="0" w:line="336" w:lineRule="auto"/>
      </w:pPr>
      <w:r>
        <w:rPr>
          <w:rFonts w:ascii="Verdana Pro" w:eastAsia="Verdana Pro" w:hAnsi="Verdana Pro" w:cs="Verdana Pro"/>
          <w:color w:val="000000"/>
        </w:rPr>
        <w:t xml:space="preserve">Works on land </w:t>
      </w:r>
      <w:r>
        <w:rPr>
          <w:rFonts w:ascii="Verdana Pro Bold" w:eastAsia="Verdana Pro Bold" w:hAnsi="Verdana Pro Bold" w:cs="Verdana Pro Bold"/>
          <w:b/>
          <w:bCs/>
          <w:color w:val="000000"/>
        </w:rPr>
        <w:t>not owned or managed</w:t>
      </w:r>
      <w:r>
        <w:rPr>
          <w:rFonts w:ascii="Verdana Pro" w:eastAsia="Verdana Pro" w:hAnsi="Verdana Pro" w:cs="Verdana Pro"/>
          <w:color w:val="000000"/>
        </w:rPr>
        <w:t xml:space="preserve"> by the organisation </w:t>
      </w:r>
    </w:p>
    <w:p w14:paraId="2F1D9109" w14:textId="77777777" w:rsidR="005101C5" w:rsidRDefault="00F26CF0">
      <w:pPr>
        <w:numPr>
          <w:ilvl w:val="0"/>
          <w:numId w:val="2"/>
        </w:numPr>
        <w:spacing w:after="0" w:line="336" w:lineRule="auto"/>
      </w:pPr>
      <w:r>
        <w:rPr>
          <w:rFonts w:ascii="Verdana Pro" w:eastAsia="Verdana Pro" w:hAnsi="Verdana Pro" w:cs="Verdana Pro"/>
          <w:color w:val="000000"/>
        </w:rPr>
        <w:t xml:space="preserve">Play areas or large-scale playground equipment </w:t>
      </w:r>
    </w:p>
    <w:p w14:paraId="1C51D71F" w14:textId="77777777" w:rsidR="005101C5" w:rsidRDefault="00F26CF0">
      <w:pPr>
        <w:spacing w:before="120" w:after="120" w:line="336" w:lineRule="auto"/>
      </w:pPr>
      <w:r>
        <w:rPr>
          <w:rFonts w:ascii="Verdana Pro Bold" w:eastAsia="Verdana Pro Bold" w:hAnsi="Verdana Pro Bold" w:cs="Verdana Pro Bold"/>
          <w:b/>
          <w:bCs/>
          <w:color w:val="000000"/>
        </w:rPr>
        <w:t>Reapplication Rules</w:t>
      </w:r>
      <w:r>
        <w:rPr>
          <w:rFonts w:ascii="Verdana Pro" w:eastAsia="Verdana Pro" w:hAnsi="Verdana Pro" w:cs="Verdana Pro"/>
          <w:color w:val="000000"/>
        </w:rPr>
        <w:t xml:space="preserve"> </w:t>
      </w:r>
    </w:p>
    <w:p w14:paraId="0AB6735E" w14:textId="77777777" w:rsidR="005101C5" w:rsidRDefault="00F26CF0">
      <w:pPr>
        <w:numPr>
          <w:ilvl w:val="0"/>
          <w:numId w:val="3"/>
        </w:numPr>
        <w:spacing w:after="0" w:line="336" w:lineRule="auto"/>
      </w:pPr>
      <w:r>
        <w:rPr>
          <w:rFonts w:ascii="Verdana Pro" w:eastAsia="Verdana Pro" w:hAnsi="Verdana Pro" w:cs="Verdana Pro"/>
          <w:color w:val="000000"/>
        </w:rPr>
        <w:t xml:space="preserve">If an application is declined, residents must wait </w:t>
      </w:r>
      <w:r>
        <w:rPr>
          <w:rFonts w:ascii="Verdana Pro Bold" w:eastAsia="Verdana Pro Bold" w:hAnsi="Verdana Pro Bold" w:cs="Verdana Pro Bold"/>
          <w:b/>
          <w:bCs/>
          <w:color w:val="000000"/>
        </w:rPr>
        <w:t>12 months</w:t>
      </w:r>
      <w:r>
        <w:rPr>
          <w:rFonts w:ascii="Verdana Pro" w:eastAsia="Verdana Pro" w:hAnsi="Verdana Pro" w:cs="Verdana Pro"/>
          <w:color w:val="000000"/>
        </w:rPr>
        <w:t xml:space="preserve"> before reapplying for the same project. </w:t>
      </w:r>
    </w:p>
    <w:p w14:paraId="14748BFB" w14:textId="77777777" w:rsidR="005101C5" w:rsidRDefault="00F26CF0">
      <w:pPr>
        <w:spacing w:before="120" w:after="120" w:line="336" w:lineRule="auto"/>
      </w:pPr>
      <w:r>
        <w:rPr>
          <w:rFonts w:ascii="Verdana Pro Bold" w:eastAsia="Verdana Pro Bold" w:hAnsi="Verdana Pro Bold" w:cs="Verdana Pro Bold"/>
          <w:b/>
          <w:bCs/>
          <w:color w:val="000000"/>
        </w:rPr>
        <w:t>Project Delivery</w:t>
      </w:r>
      <w:r>
        <w:rPr>
          <w:rFonts w:ascii="Verdana Pro" w:eastAsia="Verdana Pro" w:hAnsi="Verdana Pro" w:cs="Verdana Pro"/>
          <w:color w:val="000000"/>
        </w:rPr>
        <w:t xml:space="preserve"> </w:t>
      </w:r>
    </w:p>
    <w:p w14:paraId="562AE3D0" w14:textId="77777777" w:rsidR="005101C5" w:rsidRDefault="00F26CF0">
      <w:pPr>
        <w:numPr>
          <w:ilvl w:val="0"/>
          <w:numId w:val="4"/>
        </w:numPr>
        <w:spacing w:after="0" w:line="336" w:lineRule="auto"/>
      </w:pPr>
      <w:r>
        <w:rPr>
          <w:rFonts w:ascii="Verdana Pro" w:eastAsia="Verdana Pro" w:hAnsi="Verdana Pro" w:cs="Verdana Pro"/>
          <w:color w:val="000000"/>
        </w:rPr>
        <w:t xml:space="preserve">Projects expected to take more than </w:t>
      </w:r>
      <w:r>
        <w:rPr>
          <w:rFonts w:ascii="Verdana Pro Bold" w:eastAsia="Verdana Pro Bold" w:hAnsi="Verdana Pro Bold" w:cs="Verdana Pro Bold"/>
          <w:b/>
          <w:bCs/>
          <w:color w:val="000000"/>
        </w:rPr>
        <w:t>3 months</w:t>
      </w:r>
      <w:r>
        <w:rPr>
          <w:rFonts w:ascii="Verdana Pro" w:eastAsia="Verdana Pro" w:hAnsi="Verdana Pro" w:cs="Verdana Pro"/>
          <w:color w:val="000000"/>
        </w:rPr>
        <w:t xml:space="preserve"> must provide monthly progress updates to the Customer Engagement Partner. </w:t>
      </w:r>
    </w:p>
    <w:p w14:paraId="46729547" w14:textId="77777777" w:rsidR="005101C5" w:rsidRDefault="00F26CF0">
      <w:pPr>
        <w:spacing w:before="120" w:after="120" w:line="336" w:lineRule="auto"/>
      </w:pPr>
      <w:r>
        <w:rPr>
          <w:rFonts w:ascii="Verdana Pro Bold" w:eastAsia="Verdana Pro Bold" w:hAnsi="Verdana Pro Bold" w:cs="Verdana Pro Bold"/>
          <w:b/>
          <w:bCs/>
          <w:color w:val="000000"/>
        </w:rPr>
        <w:t>Decision-Making</w:t>
      </w:r>
      <w:r>
        <w:rPr>
          <w:rFonts w:ascii="Verdana Pro" w:eastAsia="Verdana Pro" w:hAnsi="Verdana Pro" w:cs="Verdana Pro"/>
          <w:color w:val="000000"/>
        </w:rPr>
        <w:t xml:space="preserve"> </w:t>
      </w:r>
    </w:p>
    <w:p w14:paraId="34D5A228" w14:textId="77777777" w:rsidR="005101C5" w:rsidRDefault="00F26CF0">
      <w:pPr>
        <w:numPr>
          <w:ilvl w:val="0"/>
          <w:numId w:val="5"/>
        </w:numPr>
        <w:spacing w:after="0" w:line="336" w:lineRule="auto"/>
      </w:pPr>
      <w:r>
        <w:rPr>
          <w:rFonts w:ascii="Verdana Pro" w:eastAsia="Verdana Pro" w:hAnsi="Verdana Pro" w:cs="Verdana Pro"/>
          <w:color w:val="000000"/>
        </w:rPr>
        <w:t xml:space="preserve">All applicants will be notified of the outcome. </w:t>
      </w:r>
    </w:p>
    <w:p w14:paraId="02BA9873" w14:textId="77777777" w:rsidR="005101C5" w:rsidRDefault="00F26CF0">
      <w:pPr>
        <w:numPr>
          <w:ilvl w:val="0"/>
          <w:numId w:val="5"/>
        </w:numPr>
        <w:spacing w:after="0" w:line="336" w:lineRule="auto"/>
      </w:pPr>
      <w:r>
        <w:rPr>
          <w:rFonts w:ascii="Verdana Pro" w:eastAsia="Verdana Pro" w:hAnsi="Verdana Pro" w:cs="Verdana Pro"/>
          <w:color w:val="000000"/>
        </w:rPr>
        <w:lastRenderedPageBreak/>
        <w:t xml:space="preserve">Feedback will be provided where an application is unsuccessful, including signposting to other possible sources of support where available. </w:t>
      </w:r>
    </w:p>
    <w:p w14:paraId="4B7724EE" w14:textId="77777777" w:rsidR="005101C5" w:rsidRDefault="00F26CF0">
      <w:pPr>
        <w:numPr>
          <w:ilvl w:val="0"/>
          <w:numId w:val="5"/>
        </w:numPr>
        <w:spacing w:after="0" w:line="336" w:lineRule="auto"/>
      </w:pPr>
      <w:r>
        <w:rPr>
          <w:rFonts w:ascii="Verdana Pro" w:eastAsia="Verdana Pro" w:hAnsi="Verdana Pro" w:cs="Verdana Pro"/>
          <w:color w:val="000000"/>
        </w:rPr>
        <w:t xml:space="preserve">Decisions are final; there is no appeals process. </w:t>
      </w:r>
    </w:p>
    <w:p w14:paraId="34D09E4C" w14:textId="77777777" w:rsidR="005101C5" w:rsidRDefault="00F26CF0">
      <w:pPr>
        <w:spacing w:before="120" w:after="120" w:line="336" w:lineRule="auto"/>
      </w:pPr>
      <w:r>
        <w:rPr>
          <w:rFonts w:ascii="Verdana Pro Bold" w:eastAsia="Verdana Pro Bold" w:hAnsi="Verdana Pro Bold" w:cs="Verdana Pro Bold"/>
          <w:b/>
          <w:bCs/>
          <w:color w:val="000000"/>
        </w:rPr>
        <w:t>Please Note:</w:t>
      </w:r>
      <w:r>
        <w:rPr>
          <w:rFonts w:ascii="Verdana Pro" w:eastAsia="Verdana Pro" w:hAnsi="Verdana Pro" w:cs="Verdana Pro"/>
          <w:color w:val="000000"/>
        </w:rPr>
        <w:t xml:space="preserve"> If funding is oversubscribed, applications may be deferred to the next financial year or referred to Asset Management for consideration within wider environmental improvement programmes. </w:t>
      </w:r>
    </w:p>
    <w:p w14:paraId="4255A04D" w14:textId="77777777" w:rsidR="005101C5" w:rsidRDefault="00F26CF0">
      <w:pPr>
        <w:spacing w:before="120" w:after="120" w:line="336" w:lineRule="auto"/>
      </w:pPr>
      <w:r>
        <w:rPr>
          <w:rFonts w:ascii="Verdana Pro" w:eastAsia="Verdana Pro" w:hAnsi="Verdana Pro" w:cs="Verdana Pro"/>
          <w:color w:val="000000"/>
        </w:rPr>
        <w:t xml:space="preserve"> </w:t>
      </w:r>
    </w:p>
    <w:p w14:paraId="69F389E1" w14:textId="77777777" w:rsidR="005101C5" w:rsidRDefault="00F26CF0">
      <w:pPr>
        <w:spacing w:before="120" w:after="120"/>
        <w:jc w:val="center"/>
      </w:pPr>
      <w:r>
        <w:rPr>
          <w:noProof/>
        </w:rPr>
        <w:drawing>
          <wp:inline distT="0" distB="0" distL="0" distR="0" wp14:anchorId="150FC067" wp14:editId="1854E7FE">
            <wp:extent cx="1502075" cy="705140"/>
            <wp:effectExtent l="0" t="0" r="0" b="0"/>
            <wp:docPr id="1" name="Drawing 1" descr="393fd495c4e1c838ac99bcc7cb58fa1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393fd495c4e1c838ac99bcc7cb58fa1d.png"/>
                    <pic:cNvPicPr>
                      <a:picLocks noChangeAspect="1"/>
                    </pic:cNvPicPr>
                  </pic:nvPicPr>
                  <pic:blipFill>
                    <a:blip r:embed="rId6"/>
                    <a:srcRect t="21666" b="47037"/>
                    <a:stretch>
                      <a:fillRect/>
                    </a:stretch>
                  </pic:blipFill>
                  <pic:spPr>
                    <a:xfrm>
                      <a:off x="0" y="0"/>
                      <a:ext cx="1502075" cy="705140"/>
                    </a:xfrm>
                    <a:prstGeom prst="rect">
                      <a:avLst/>
                    </a:prstGeom>
                  </pic:spPr>
                </pic:pic>
              </a:graphicData>
            </a:graphic>
          </wp:inline>
        </w:drawing>
      </w:r>
    </w:p>
    <w:p w14:paraId="3EFD69C2" w14:textId="77777777" w:rsidR="005101C5" w:rsidRDefault="00F26CF0">
      <w:pPr>
        <w:spacing w:before="120" w:after="120" w:line="336" w:lineRule="auto"/>
      </w:pPr>
      <w:r>
        <w:rPr>
          <w:rFonts w:ascii="Verdana Pro" w:eastAsia="Verdana Pro" w:hAnsi="Verdana Pro" w:cs="Verdana Pro"/>
          <w:color w:val="000000"/>
        </w:rPr>
        <w:t xml:space="preserve"> </w:t>
      </w:r>
    </w:p>
    <w:sectPr w:rsidR="005101C5">
      <w:pgSz w:w="11910" w:h="16845"/>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embedRegular r:id="rId1" w:fontKey="{BD03511C-3675-407D-A6E3-5059A77BA796}"/>
  </w:font>
  <w:font w:name="Verdana Pro">
    <w:charset w:val="00"/>
    <w:family w:val="swiss"/>
    <w:pitch w:val="variable"/>
    <w:sig w:usb0="80000287" w:usb1="00000043" w:usb2="00000000" w:usb3="00000000" w:csb0="0000009F" w:csb1="00000000"/>
    <w:embedRegular r:id="rId2" w:fontKey="{1663CBE7-ADD2-459E-9440-B99258D1B1A3}"/>
  </w:font>
  <w:font w:name="Verdana Pro Bold">
    <w:altName w:val="Verdana Pro"/>
    <w:charset w:val="00"/>
    <w:family w:val="auto"/>
    <w:pitch w:val="default"/>
  </w:font>
  <w:font w:name="Aptos Display">
    <w:charset w:val="00"/>
    <w:family w:val="swiss"/>
    <w:pitch w:val="variable"/>
    <w:sig w:usb0="20000287" w:usb1="00000003" w:usb2="00000000" w:usb3="00000000" w:csb0="0000019F" w:csb1="00000000"/>
    <w:embedRegular r:id="rId3" w:fontKey="{F1F95CE1-FD3F-4FD1-99FA-25058F0E2D31}"/>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9628A"/>
    <w:multiLevelType w:val="hybridMultilevel"/>
    <w:tmpl w:val="23CA7CE4"/>
    <w:lvl w:ilvl="0" w:tplc="CBD2DE72">
      <w:start w:val="1"/>
      <w:numFmt w:val="bullet"/>
      <w:lvlText w:val=""/>
      <w:lvlJc w:val="left"/>
      <w:pPr>
        <w:ind w:left="400" w:hanging="360"/>
      </w:pPr>
      <w:rPr>
        <w:rFonts w:ascii="Symbol" w:hAnsi="Symbol"/>
      </w:rPr>
    </w:lvl>
    <w:lvl w:ilvl="1" w:tplc="6E98438E">
      <w:start w:val="1"/>
      <w:numFmt w:val="bullet"/>
      <w:lvlText w:val="o"/>
      <w:lvlJc w:val="left"/>
      <w:pPr>
        <w:ind w:left="800" w:hanging="360"/>
      </w:pPr>
      <w:rPr>
        <w:rFonts w:ascii="Courier New" w:hAnsi="Courier New"/>
      </w:rPr>
    </w:lvl>
    <w:lvl w:ilvl="2" w:tplc="17AC9B68">
      <w:start w:val="1"/>
      <w:numFmt w:val="bullet"/>
      <w:lvlText w:val=""/>
      <w:lvlJc w:val="left"/>
      <w:pPr>
        <w:ind w:left="1200" w:hanging="360"/>
      </w:pPr>
      <w:rPr>
        <w:rFonts w:ascii="Wingdings" w:hAnsi="Wingdings"/>
      </w:rPr>
    </w:lvl>
    <w:lvl w:ilvl="3" w:tplc="56985A54">
      <w:start w:val="1"/>
      <w:numFmt w:val="bullet"/>
      <w:lvlText w:val=""/>
      <w:lvlJc w:val="left"/>
      <w:pPr>
        <w:ind w:left="1600" w:hanging="360"/>
      </w:pPr>
      <w:rPr>
        <w:rFonts w:ascii="Symbol" w:hAnsi="Symbol"/>
      </w:rPr>
    </w:lvl>
    <w:lvl w:ilvl="4" w:tplc="DF20620A">
      <w:start w:val="1"/>
      <w:numFmt w:val="bullet"/>
      <w:lvlText w:val="o"/>
      <w:lvlJc w:val="left"/>
      <w:pPr>
        <w:ind w:left="2000" w:hanging="360"/>
      </w:pPr>
      <w:rPr>
        <w:rFonts w:ascii="Courier New" w:hAnsi="Courier New"/>
      </w:rPr>
    </w:lvl>
    <w:lvl w:ilvl="5" w:tplc="A960625C">
      <w:start w:val="1"/>
      <w:numFmt w:val="bullet"/>
      <w:lvlText w:val=""/>
      <w:lvlJc w:val="left"/>
      <w:pPr>
        <w:ind w:left="2400" w:hanging="360"/>
      </w:pPr>
      <w:rPr>
        <w:rFonts w:ascii="Wingdings" w:hAnsi="Wingdings"/>
      </w:rPr>
    </w:lvl>
    <w:lvl w:ilvl="6" w:tplc="D5B295E0">
      <w:start w:val="1"/>
      <w:numFmt w:val="bullet"/>
      <w:lvlText w:val=""/>
      <w:lvlJc w:val="left"/>
      <w:pPr>
        <w:ind w:left="2800" w:hanging="360"/>
      </w:pPr>
      <w:rPr>
        <w:rFonts w:ascii="Symbol" w:hAnsi="Symbol"/>
      </w:rPr>
    </w:lvl>
    <w:lvl w:ilvl="7" w:tplc="53DC971A">
      <w:start w:val="1"/>
      <w:numFmt w:val="bullet"/>
      <w:lvlText w:val="o"/>
      <w:lvlJc w:val="left"/>
      <w:pPr>
        <w:ind w:left="3200" w:hanging="360"/>
      </w:pPr>
      <w:rPr>
        <w:rFonts w:ascii="Courier New" w:hAnsi="Courier New"/>
      </w:rPr>
    </w:lvl>
    <w:lvl w:ilvl="8" w:tplc="5BDEAF5A">
      <w:numFmt w:val="decimal"/>
      <w:lvlText w:val=""/>
      <w:lvlJc w:val="left"/>
    </w:lvl>
  </w:abstractNum>
  <w:abstractNum w:abstractNumId="1" w15:restartNumberingAfterBreak="0">
    <w:nsid w:val="0C722E28"/>
    <w:multiLevelType w:val="hybridMultilevel"/>
    <w:tmpl w:val="D41A72F6"/>
    <w:lvl w:ilvl="0" w:tplc="C1E650A2">
      <w:start w:val="1"/>
      <w:numFmt w:val="bullet"/>
      <w:lvlText w:val=""/>
      <w:lvlJc w:val="left"/>
      <w:pPr>
        <w:ind w:left="400" w:hanging="360"/>
      </w:pPr>
      <w:rPr>
        <w:rFonts w:ascii="Symbol" w:hAnsi="Symbol"/>
      </w:rPr>
    </w:lvl>
    <w:lvl w:ilvl="1" w:tplc="CE9EFFD8">
      <w:start w:val="1"/>
      <w:numFmt w:val="bullet"/>
      <w:lvlText w:val="o"/>
      <w:lvlJc w:val="left"/>
      <w:pPr>
        <w:ind w:left="800" w:hanging="360"/>
      </w:pPr>
      <w:rPr>
        <w:rFonts w:ascii="Courier New" w:hAnsi="Courier New"/>
      </w:rPr>
    </w:lvl>
    <w:lvl w:ilvl="2" w:tplc="875650F6">
      <w:start w:val="1"/>
      <w:numFmt w:val="bullet"/>
      <w:lvlText w:val=""/>
      <w:lvlJc w:val="left"/>
      <w:pPr>
        <w:ind w:left="1200" w:hanging="360"/>
      </w:pPr>
      <w:rPr>
        <w:rFonts w:ascii="Wingdings" w:hAnsi="Wingdings"/>
      </w:rPr>
    </w:lvl>
    <w:lvl w:ilvl="3" w:tplc="6C22DC74">
      <w:start w:val="1"/>
      <w:numFmt w:val="bullet"/>
      <w:lvlText w:val=""/>
      <w:lvlJc w:val="left"/>
      <w:pPr>
        <w:ind w:left="1600" w:hanging="360"/>
      </w:pPr>
      <w:rPr>
        <w:rFonts w:ascii="Symbol" w:hAnsi="Symbol"/>
      </w:rPr>
    </w:lvl>
    <w:lvl w:ilvl="4" w:tplc="DD48C128">
      <w:start w:val="1"/>
      <w:numFmt w:val="bullet"/>
      <w:lvlText w:val="o"/>
      <w:lvlJc w:val="left"/>
      <w:pPr>
        <w:ind w:left="2000" w:hanging="360"/>
      </w:pPr>
      <w:rPr>
        <w:rFonts w:ascii="Courier New" w:hAnsi="Courier New"/>
      </w:rPr>
    </w:lvl>
    <w:lvl w:ilvl="5" w:tplc="BAEEB72A">
      <w:start w:val="1"/>
      <w:numFmt w:val="bullet"/>
      <w:lvlText w:val=""/>
      <w:lvlJc w:val="left"/>
      <w:pPr>
        <w:ind w:left="2400" w:hanging="360"/>
      </w:pPr>
      <w:rPr>
        <w:rFonts w:ascii="Wingdings" w:hAnsi="Wingdings"/>
      </w:rPr>
    </w:lvl>
    <w:lvl w:ilvl="6" w:tplc="511CF162">
      <w:start w:val="1"/>
      <w:numFmt w:val="bullet"/>
      <w:lvlText w:val=""/>
      <w:lvlJc w:val="left"/>
      <w:pPr>
        <w:ind w:left="2800" w:hanging="360"/>
      </w:pPr>
      <w:rPr>
        <w:rFonts w:ascii="Symbol" w:hAnsi="Symbol"/>
      </w:rPr>
    </w:lvl>
    <w:lvl w:ilvl="7" w:tplc="C9A413CC">
      <w:start w:val="1"/>
      <w:numFmt w:val="bullet"/>
      <w:lvlText w:val="o"/>
      <w:lvlJc w:val="left"/>
      <w:pPr>
        <w:ind w:left="3200" w:hanging="360"/>
      </w:pPr>
      <w:rPr>
        <w:rFonts w:ascii="Courier New" w:hAnsi="Courier New"/>
      </w:rPr>
    </w:lvl>
    <w:lvl w:ilvl="8" w:tplc="E38E6BF4">
      <w:numFmt w:val="decimal"/>
      <w:lvlText w:val=""/>
      <w:lvlJc w:val="left"/>
    </w:lvl>
  </w:abstractNum>
  <w:abstractNum w:abstractNumId="2" w15:restartNumberingAfterBreak="0">
    <w:nsid w:val="5E7D3C08"/>
    <w:multiLevelType w:val="hybridMultilevel"/>
    <w:tmpl w:val="7A022664"/>
    <w:lvl w:ilvl="0" w:tplc="58809F00">
      <w:start w:val="1"/>
      <w:numFmt w:val="bullet"/>
      <w:lvlText w:val=""/>
      <w:lvlJc w:val="left"/>
      <w:pPr>
        <w:ind w:left="400" w:hanging="360"/>
      </w:pPr>
      <w:rPr>
        <w:rFonts w:ascii="Symbol" w:hAnsi="Symbol"/>
      </w:rPr>
    </w:lvl>
    <w:lvl w:ilvl="1" w:tplc="30A4605C">
      <w:start w:val="1"/>
      <w:numFmt w:val="bullet"/>
      <w:lvlText w:val="o"/>
      <w:lvlJc w:val="left"/>
      <w:pPr>
        <w:ind w:left="800" w:hanging="360"/>
      </w:pPr>
      <w:rPr>
        <w:rFonts w:ascii="Courier New" w:hAnsi="Courier New"/>
      </w:rPr>
    </w:lvl>
    <w:lvl w:ilvl="2" w:tplc="37226564">
      <w:start w:val="1"/>
      <w:numFmt w:val="bullet"/>
      <w:lvlText w:val=""/>
      <w:lvlJc w:val="left"/>
      <w:pPr>
        <w:ind w:left="1200" w:hanging="360"/>
      </w:pPr>
      <w:rPr>
        <w:rFonts w:ascii="Wingdings" w:hAnsi="Wingdings"/>
      </w:rPr>
    </w:lvl>
    <w:lvl w:ilvl="3" w:tplc="2A3A61A0">
      <w:start w:val="1"/>
      <w:numFmt w:val="bullet"/>
      <w:lvlText w:val=""/>
      <w:lvlJc w:val="left"/>
      <w:pPr>
        <w:ind w:left="1600" w:hanging="360"/>
      </w:pPr>
      <w:rPr>
        <w:rFonts w:ascii="Symbol" w:hAnsi="Symbol"/>
      </w:rPr>
    </w:lvl>
    <w:lvl w:ilvl="4" w:tplc="D6926136">
      <w:start w:val="1"/>
      <w:numFmt w:val="bullet"/>
      <w:lvlText w:val="o"/>
      <w:lvlJc w:val="left"/>
      <w:pPr>
        <w:ind w:left="2000" w:hanging="360"/>
      </w:pPr>
      <w:rPr>
        <w:rFonts w:ascii="Courier New" w:hAnsi="Courier New"/>
      </w:rPr>
    </w:lvl>
    <w:lvl w:ilvl="5" w:tplc="CF126E82">
      <w:start w:val="1"/>
      <w:numFmt w:val="bullet"/>
      <w:lvlText w:val=""/>
      <w:lvlJc w:val="left"/>
      <w:pPr>
        <w:ind w:left="2400" w:hanging="360"/>
      </w:pPr>
      <w:rPr>
        <w:rFonts w:ascii="Wingdings" w:hAnsi="Wingdings"/>
      </w:rPr>
    </w:lvl>
    <w:lvl w:ilvl="6" w:tplc="CEE24776">
      <w:start w:val="1"/>
      <w:numFmt w:val="bullet"/>
      <w:lvlText w:val=""/>
      <w:lvlJc w:val="left"/>
      <w:pPr>
        <w:ind w:left="2800" w:hanging="360"/>
      </w:pPr>
      <w:rPr>
        <w:rFonts w:ascii="Symbol" w:hAnsi="Symbol"/>
      </w:rPr>
    </w:lvl>
    <w:lvl w:ilvl="7" w:tplc="00923B16">
      <w:start w:val="1"/>
      <w:numFmt w:val="bullet"/>
      <w:lvlText w:val="o"/>
      <w:lvlJc w:val="left"/>
      <w:pPr>
        <w:ind w:left="3200" w:hanging="360"/>
      </w:pPr>
      <w:rPr>
        <w:rFonts w:ascii="Courier New" w:hAnsi="Courier New"/>
      </w:rPr>
    </w:lvl>
    <w:lvl w:ilvl="8" w:tplc="279AAB4C">
      <w:numFmt w:val="decimal"/>
      <w:lvlText w:val=""/>
      <w:lvlJc w:val="left"/>
    </w:lvl>
  </w:abstractNum>
  <w:abstractNum w:abstractNumId="3" w15:restartNumberingAfterBreak="0">
    <w:nsid w:val="627B4532"/>
    <w:multiLevelType w:val="hybridMultilevel"/>
    <w:tmpl w:val="A8463656"/>
    <w:lvl w:ilvl="0" w:tplc="F80C9FB4">
      <w:start w:val="1"/>
      <w:numFmt w:val="bullet"/>
      <w:lvlText w:val=""/>
      <w:lvlJc w:val="left"/>
      <w:pPr>
        <w:ind w:left="400" w:hanging="360"/>
      </w:pPr>
      <w:rPr>
        <w:rFonts w:ascii="Symbol" w:hAnsi="Symbol"/>
      </w:rPr>
    </w:lvl>
    <w:lvl w:ilvl="1" w:tplc="42D4519E">
      <w:start w:val="1"/>
      <w:numFmt w:val="bullet"/>
      <w:lvlText w:val="o"/>
      <w:lvlJc w:val="left"/>
      <w:pPr>
        <w:ind w:left="800" w:hanging="360"/>
      </w:pPr>
      <w:rPr>
        <w:rFonts w:ascii="Courier New" w:hAnsi="Courier New"/>
      </w:rPr>
    </w:lvl>
    <w:lvl w:ilvl="2" w:tplc="93686872">
      <w:start w:val="1"/>
      <w:numFmt w:val="bullet"/>
      <w:lvlText w:val=""/>
      <w:lvlJc w:val="left"/>
      <w:pPr>
        <w:ind w:left="1200" w:hanging="360"/>
      </w:pPr>
      <w:rPr>
        <w:rFonts w:ascii="Wingdings" w:hAnsi="Wingdings"/>
      </w:rPr>
    </w:lvl>
    <w:lvl w:ilvl="3" w:tplc="38A6931E">
      <w:start w:val="1"/>
      <w:numFmt w:val="bullet"/>
      <w:lvlText w:val=""/>
      <w:lvlJc w:val="left"/>
      <w:pPr>
        <w:ind w:left="1600" w:hanging="360"/>
      </w:pPr>
      <w:rPr>
        <w:rFonts w:ascii="Symbol" w:hAnsi="Symbol"/>
      </w:rPr>
    </w:lvl>
    <w:lvl w:ilvl="4" w:tplc="85F69680">
      <w:start w:val="1"/>
      <w:numFmt w:val="bullet"/>
      <w:lvlText w:val="o"/>
      <w:lvlJc w:val="left"/>
      <w:pPr>
        <w:ind w:left="2000" w:hanging="360"/>
      </w:pPr>
      <w:rPr>
        <w:rFonts w:ascii="Courier New" w:hAnsi="Courier New"/>
      </w:rPr>
    </w:lvl>
    <w:lvl w:ilvl="5" w:tplc="20F6DE80">
      <w:start w:val="1"/>
      <w:numFmt w:val="bullet"/>
      <w:lvlText w:val=""/>
      <w:lvlJc w:val="left"/>
      <w:pPr>
        <w:ind w:left="2400" w:hanging="360"/>
      </w:pPr>
      <w:rPr>
        <w:rFonts w:ascii="Wingdings" w:hAnsi="Wingdings"/>
      </w:rPr>
    </w:lvl>
    <w:lvl w:ilvl="6" w:tplc="7DB02E5A">
      <w:start w:val="1"/>
      <w:numFmt w:val="bullet"/>
      <w:lvlText w:val=""/>
      <w:lvlJc w:val="left"/>
      <w:pPr>
        <w:ind w:left="2800" w:hanging="360"/>
      </w:pPr>
      <w:rPr>
        <w:rFonts w:ascii="Symbol" w:hAnsi="Symbol"/>
      </w:rPr>
    </w:lvl>
    <w:lvl w:ilvl="7" w:tplc="8862AF7C">
      <w:start w:val="1"/>
      <w:numFmt w:val="bullet"/>
      <w:lvlText w:val="o"/>
      <w:lvlJc w:val="left"/>
      <w:pPr>
        <w:ind w:left="3200" w:hanging="360"/>
      </w:pPr>
      <w:rPr>
        <w:rFonts w:ascii="Courier New" w:hAnsi="Courier New"/>
      </w:rPr>
    </w:lvl>
    <w:lvl w:ilvl="8" w:tplc="9E84CC30">
      <w:numFmt w:val="decimal"/>
      <w:lvlText w:val=""/>
      <w:lvlJc w:val="left"/>
    </w:lvl>
  </w:abstractNum>
  <w:abstractNum w:abstractNumId="4" w15:restartNumberingAfterBreak="0">
    <w:nsid w:val="7935378F"/>
    <w:multiLevelType w:val="hybridMultilevel"/>
    <w:tmpl w:val="4B209752"/>
    <w:lvl w:ilvl="0" w:tplc="C74A00E0">
      <w:start w:val="1"/>
      <w:numFmt w:val="bullet"/>
      <w:lvlText w:val=""/>
      <w:lvlJc w:val="left"/>
      <w:pPr>
        <w:ind w:left="400" w:hanging="360"/>
      </w:pPr>
      <w:rPr>
        <w:rFonts w:ascii="Symbol" w:hAnsi="Symbol"/>
      </w:rPr>
    </w:lvl>
    <w:lvl w:ilvl="1" w:tplc="DFE29B96">
      <w:start w:val="1"/>
      <w:numFmt w:val="bullet"/>
      <w:lvlText w:val="o"/>
      <w:lvlJc w:val="left"/>
      <w:pPr>
        <w:ind w:left="800" w:hanging="360"/>
      </w:pPr>
      <w:rPr>
        <w:rFonts w:ascii="Courier New" w:hAnsi="Courier New"/>
      </w:rPr>
    </w:lvl>
    <w:lvl w:ilvl="2" w:tplc="2F948732">
      <w:start w:val="1"/>
      <w:numFmt w:val="bullet"/>
      <w:lvlText w:val=""/>
      <w:lvlJc w:val="left"/>
      <w:pPr>
        <w:ind w:left="1200" w:hanging="360"/>
      </w:pPr>
      <w:rPr>
        <w:rFonts w:ascii="Wingdings" w:hAnsi="Wingdings"/>
      </w:rPr>
    </w:lvl>
    <w:lvl w:ilvl="3" w:tplc="F39AEF6C">
      <w:start w:val="1"/>
      <w:numFmt w:val="bullet"/>
      <w:lvlText w:val=""/>
      <w:lvlJc w:val="left"/>
      <w:pPr>
        <w:ind w:left="1600" w:hanging="360"/>
      </w:pPr>
      <w:rPr>
        <w:rFonts w:ascii="Symbol" w:hAnsi="Symbol"/>
      </w:rPr>
    </w:lvl>
    <w:lvl w:ilvl="4" w:tplc="9BD8419E">
      <w:start w:val="1"/>
      <w:numFmt w:val="bullet"/>
      <w:lvlText w:val="o"/>
      <w:lvlJc w:val="left"/>
      <w:pPr>
        <w:ind w:left="2000" w:hanging="360"/>
      </w:pPr>
      <w:rPr>
        <w:rFonts w:ascii="Courier New" w:hAnsi="Courier New"/>
      </w:rPr>
    </w:lvl>
    <w:lvl w:ilvl="5" w:tplc="A67C50E6">
      <w:start w:val="1"/>
      <w:numFmt w:val="bullet"/>
      <w:lvlText w:val=""/>
      <w:lvlJc w:val="left"/>
      <w:pPr>
        <w:ind w:left="2400" w:hanging="360"/>
      </w:pPr>
      <w:rPr>
        <w:rFonts w:ascii="Wingdings" w:hAnsi="Wingdings"/>
      </w:rPr>
    </w:lvl>
    <w:lvl w:ilvl="6" w:tplc="F2EE145A">
      <w:start w:val="1"/>
      <w:numFmt w:val="bullet"/>
      <w:lvlText w:val=""/>
      <w:lvlJc w:val="left"/>
      <w:pPr>
        <w:ind w:left="2800" w:hanging="360"/>
      </w:pPr>
      <w:rPr>
        <w:rFonts w:ascii="Symbol" w:hAnsi="Symbol"/>
      </w:rPr>
    </w:lvl>
    <w:lvl w:ilvl="7" w:tplc="0B32BD1E">
      <w:start w:val="1"/>
      <w:numFmt w:val="bullet"/>
      <w:lvlText w:val="o"/>
      <w:lvlJc w:val="left"/>
      <w:pPr>
        <w:ind w:left="3200" w:hanging="360"/>
      </w:pPr>
      <w:rPr>
        <w:rFonts w:ascii="Courier New" w:hAnsi="Courier New"/>
      </w:rPr>
    </w:lvl>
    <w:lvl w:ilvl="8" w:tplc="C310BE6A">
      <w:numFmt w:val="decimal"/>
      <w:lvlText w:val=""/>
      <w:lvlJc w:val="left"/>
    </w:lvl>
  </w:abstractNum>
  <w:num w:numId="1" w16cid:durableId="85008080">
    <w:abstractNumId w:val="2"/>
  </w:num>
  <w:num w:numId="2" w16cid:durableId="915893598">
    <w:abstractNumId w:val="3"/>
  </w:num>
  <w:num w:numId="3" w16cid:durableId="361634470">
    <w:abstractNumId w:val="4"/>
  </w:num>
  <w:num w:numId="4" w16cid:durableId="7611106">
    <w:abstractNumId w:val="1"/>
  </w:num>
  <w:num w:numId="5" w16cid:durableId="231475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doNotShadeFormData/>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1C5"/>
    <w:rsid w:val="005101C5"/>
    <w:rsid w:val="00837A03"/>
    <w:rsid w:val="00956881"/>
    <w:rsid w:val="00F26C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C4E3BF"/>
  <w15:docId w15:val="{7E66B6A1-2400-460D-823A-103A1166F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364</Words>
  <Characters>1916</Characters>
  <Application>Microsoft Office Word</Application>
  <DocSecurity>0</DocSecurity>
  <Lines>91</Lines>
  <Paragraphs>58</Paragraphs>
  <ScaleCrop>false</ScaleCrop>
  <Company/>
  <LinksUpToDate>false</LinksUpToDate>
  <CharactersWithSpaces>2222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aim is to approve as many applications as possible that meet the criteria. Projects should provide a direct, lasting, and visible improvement to shared or communal areas or improves Community Spirit.</dc:title>
  <dc:creator>Apache POI</dc:creator>
  <cp:lastModifiedBy>Emma Dickinson</cp:lastModifiedBy>
  <cp:revision>2</cp:revision>
  <dcterms:created xsi:type="dcterms:W3CDTF">2026-06-24T12:32:00Z</dcterms:created>
  <dcterms:modified xsi:type="dcterms:W3CDTF">2026-06-24T12:32:00Z</dcterms:modified>
</cp:coreProperties>
</file>